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70b11c3964ff0" /></Relationships>
</file>

<file path=word/document.xml><?xml version="1.0" encoding="utf-8"?>
<w:document xmlns:r="http://schemas.openxmlformats.org/officeDocument/2006/relationships" xmlns:w="http://schemas.openxmlformats.org/wordprocessingml/2006/main">
  <w:body>
    <w:p>
      <w:pPr>
        <w:pStyle w:val="Title"/>
      </w:pPr>
      <w:r>
        <w:t>Non-dependent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fafb527264d40">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aged 15 or more, who is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5416e7b7304f454d">
              <w:r>
                <w:rPr>
                  <w:rStyle w:val="Hyperlink"/>
                  <w:b/>
                </w:rPr>
                <w:t xml:space="preserve">child </w:t>
              </w:r>
            </w:hyperlink>
            <w:r>
              <w:rPr>
                <w:rStyle w:val="row-content-rich-text"/>
              </w:rPr>
              <w:t xml:space="preserve">of a couple or lone parent, who is not a full-time student aged 15-24 years, and who has no identified partner or child of his/her 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non-dependent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cf8d2685e3e9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351506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e270fb072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d2685e3e94581" /><Relationship Type="http://schemas.openxmlformats.org/officeDocument/2006/relationships/header" Target="/word/header1.xml" Id="R2a5b8a6ade5f48c3" /><Relationship Type="http://schemas.openxmlformats.org/officeDocument/2006/relationships/settings" Target="/word/settings.xml" Id="R36c34c32a8c048ed" /><Relationship Type="http://schemas.openxmlformats.org/officeDocument/2006/relationships/styles" Target="/word/styles.xml" Id="R25305187d6ef4695" /><Relationship Type="http://schemas.openxmlformats.org/officeDocument/2006/relationships/hyperlink" Target="https://meteor.aihw.gov.au/RegistrationAuthority/1" TargetMode="External" Id="Re9dfafb527264d40" /><Relationship Type="http://schemas.openxmlformats.org/officeDocument/2006/relationships/hyperlink" Target="https://meteor.aihw.gov.au/content/346949" TargetMode="External" Id="R5416e7b7304f454d" /></Relationships>
</file>

<file path=word/_rels/header1.xml.rels>&#65279;<?xml version="1.0" encoding="utf-8"?><Relationships xmlns="http://schemas.openxmlformats.org/package/2006/relationships"><Relationship Type="http://schemas.openxmlformats.org/officeDocument/2006/relationships/image" Target="/media/image.png" Id="R1b0e270fb0724d19" /></Relationships>
</file>