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554705b68d64f52" /></Relationships>
</file>

<file path=word/document.xml><?xml version="1.0" encoding="utf-8"?>
<w:document xmlns:r="http://schemas.openxmlformats.org/officeDocument/2006/relationships" xmlns:w="http://schemas.openxmlformats.org/wordprocessingml/2006/main">
  <w:body>
    <w:p>
      <w:pPr>
        <w:pStyle w:val="Title"/>
      </w:pPr>
      <w:r>
        <w:t>Principal income source SAAP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Principal income source SAAP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348582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688bf1e1c754afb">
              <w:r>
                <w:rPr>
                  <w:rStyle w:val="Hyperlink"/>
                  <w:color w:val="244061"/>
                </w:rPr>
                <w:t xml:space="preserve">Community Services (retired)</w:t>
              </w:r>
            </w:hyperlink>
            <w:r>
              <w:rPr>
                <w:rStyle w:val="row-content"/>
                <w:color w:val="244061"/>
              </w:rPr>
              <w:t xml:space="preserve">, Recorded 07/08/2007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 person's principle income source.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Newstart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Community development employment project (CDEP)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Disability support pension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Age pension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Workcover/compensation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Maintenance/child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Wages/salary/own business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Spouse/partner's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w:t>
            </w:r>
          </w:p>
        </w:tc>
        <w:tc>
          <w:tcPr>
            <w:tcBorders>
              <w:top w:val="none" w:color="000000" w:sz="0"/>
              <w:left w:val="none" w:color="000000" w:sz="0"/>
              <w:bottom w:val="none" w:color="000000" w:sz="0"/>
              <w:right w:val="none" w:color="000000" w:sz="0"/>
            </w:tcBorders>
            <w:vAlign w:val="top"/>
          </w:tcPr>
          <w:p>
            <w:r>
              <w:t xml:space="preserve">Austudy payment for students aged 25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w:t>
            </w:r>
          </w:p>
        </w:tc>
        <w:tc>
          <w:tcPr>
            <w:tcBorders>
              <w:top w:val="none" w:color="000000" w:sz="0"/>
              <w:left w:val="none" w:color="000000" w:sz="0"/>
              <w:bottom w:val="none" w:color="000000" w:sz="0"/>
              <w:right w:val="none" w:color="000000" w:sz="0"/>
            </w:tcBorders>
            <w:vAlign w:val="top"/>
          </w:tcPr>
          <w:p>
            <w:r>
              <w:t xml:space="preserve">ABSTUDY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w:t>
            </w:r>
          </w:p>
        </w:tc>
        <w:tc>
          <w:tcPr>
            <w:tcBorders>
              <w:top w:val="none" w:color="000000" w:sz="0"/>
              <w:left w:val="none" w:color="000000" w:sz="0"/>
              <w:bottom w:val="none" w:color="000000" w:sz="0"/>
              <w:right w:val="none" w:color="000000" w:sz="0"/>
            </w:tcBorders>
            <w:vAlign w:val="top"/>
          </w:tcPr>
          <w:p>
            <w:r>
              <w:t xml:space="preserve">Youth allowance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34</w:t>
            </w:r>
          </w:p>
        </w:tc>
        <w:tc>
          <w:tcPr>
            <w:tcBorders>
              <w:top w:val="none" w:color="000000" w:sz="0"/>
              <w:left w:val="none" w:color="000000" w:sz="0"/>
              <w:bottom w:val="none" w:color="000000" w:sz="0"/>
              <w:right w:val="none" w:color="000000" w:sz="0"/>
            </w:tcBorders>
            <w:vAlign w:val="top"/>
          </w:tcPr>
          <w:p>
            <w:r>
              <w:t xml:space="preserve">Parenting payment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35</w:t>
            </w:r>
          </w:p>
        </w:tc>
        <w:tc>
          <w:tcPr>
            <w:tcBorders>
              <w:top w:val="none" w:color="000000" w:sz="0"/>
              <w:left w:val="none" w:color="000000" w:sz="0"/>
              <w:bottom w:val="none" w:color="000000" w:sz="0"/>
              <w:right w:val="none" w:color="000000" w:sz="0"/>
            </w:tcBorders>
            <w:vAlign w:val="top"/>
          </w:tcPr>
          <w:p>
            <w:r>
              <w:t xml:space="preserve">DVA payment (pension or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36</w:t>
            </w:r>
          </w:p>
        </w:tc>
        <w:tc>
          <w:tcPr>
            <w:tcBorders>
              <w:top w:val="none" w:color="000000" w:sz="0"/>
              <w:left w:val="none" w:color="000000" w:sz="0"/>
              <w:bottom w:val="none" w:color="000000" w:sz="0"/>
              <w:right w:val="none" w:color="000000" w:sz="0"/>
            </w:tcBorders>
            <w:vAlign w:val="top"/>
          </w:tcPr>
          <w:p>
            <w:r>
              <w:t xml:space="preserve">Other type of allowance or benefit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4 Newstart</w:t>
            </w:r>
            <w:r>
              <w:br/>
            </w:r>
            <w:r>
              <w:rPr>
                <w:rStyle w:val="row-content-rich-text"/>
              </w:rPr>
              <w:t xml:space="preserve">Newstart refers to a Commonwealth government payment for unemployed persons over the age of 21 years but under Age Pension age.</w:t>
            </w:r>
          </w:p>
          <w:p>
            <w:pPr>
              <w:spacing w:after="160"/>
            </w:pPr>
            <w:r>
              <w:rPr>
                <w:rStyle w:val="row-content-rich-text"/>
              </w:rPr>
              <w:t xml:space="preserve">CODE 8 Community Development Employment Project (CDEP)</w:t>
            </w:r>
            <w:r>
              <w:br/>
            </w:r>
            <w:r>
              <w:rPr>
                <w:rStyle w:val="row-content-rich-text"/>
              </w:rPr>
              <w:t xml:space="preserve">Community Development Employment Project (CDEP) refers to payments to those who participate in these projects. CDEPs are run in Aboriginal and Torres Strait Islander communities.</w:t>
            </w:r>
          </w:p>
          <w:p>
            <w:pPr>
              <w:spacing w:after="160"/>
            </w:pPr>
            <w:r>
              <w:rPr>
                <w:rStyle w:val="row-content-rich-text"/>
              </w:rPr>
              <w:t xml:space="preserve">CODE 12 Disability support pension</w:t>
            </w:r>
            <w:r>
              <w:br/>
            </w:r>
            <w:r>
              <w:rPr>
                <w:rStyle w:val="row-content-rich-text"/>
              </w:rPr>
              <w:t xml:space="preserve">Disability support pension refers to a Commonwealth government payment to people aged 16 years and over but under Age Pension age whose illness, injury or disability prevents them from working full-time or undertaking educational or vocational training for at least two years. This payment is also made to people 16 years and over but under Age Pension Age who are permanently blind or people who are participating in the Supported Wage System.</w:t>
            </w:r>
          </w:p>
          <w:p>
            <w:pPr>
              <w:spacing w:after="160"/>
            </w:pPr>
            <w:r>
              <w:rPr>
                <w:rStyle w:val="row-content-rich-text"/>
              </w:rPr>
              <w:t xml:space="preserve">CODE 13 Age pension</w:t>
            </w:r>
            <w:r>
              <w:br/>
            </w:r>
            <w:r>
              <w:rPr>
                <w:rStyle w:val="row-content-rich-text"/>
              </w:rPr>
              <w:t xml:space="preserve">Age pension refers to a Commonwealth government payment to women over the age of 61 years and men over the age of 65 years.</w:t>
            </w:r>
          </w:p>
          <w:p>
            <w:pPr>
              <w:spacing w:after="160"/>
            </w:pPr>
            <w:r>
              <w:rPr>
                <w:rStyle w:val="row-content-rich-text"/>
              </w:rPr>
              <w:t xml:space="preserve">CODE 19 Workcover/compensation</w:t>
            </w:r>
            <w:r>
              <w:br/>
            </w:r>
            <w:r>
              <w:rPr>
                <w:rStyle w:val="row-content-rich-text"/>
              </w:rPr>
              <w:t xml:space="preserve">Workcover/compensation refers to payments made in lieu of wages as a result of work-related illness or injury.</w:t>
            </w:r>
          </w:p>
          <w:p>
            <w:pPr>
              <w:spacing w:after="160"/>
            </w:pPr>
            <w:r>
              <w:rPr>
                <w:rStyle w:val="row-content-rich-text"/>
              </w:rPr>
              <w:t xml:space="preserve">CODE 20 Maintenance/child support</w:t>
            </w:r>
            <w:r>
              <w:br/>
            </w:r>
            <w:r>
              <w:rPr>
                <w:rStyle w:val="row-content-rich-text"/>
              </w:rPr>
              <w:t xml:space="preserve">Maintenance/child support refers to payments from a former spouse in support of the client (spousal maintenance) or payments from a non-custodial parent in support of children (child support).</w:t>
            </w:r>
          </w:p>
          <w:p>
            <w:pPr>
              <w:spacing w:after="160"/>
            </w:pPr>
            <w:r>
              <w:rPr>
                <w:rStyle w:val="row-content-rich-text"/>
              </w:rPr>
              <w:t xml:space="preserve">CODE 21 Wages/salary/own business</w:t>
            </w:r>
            <w:r>
              <w:br/>
            </w:r>
            <w:r>
              <w:rPr>
                <w:rStyle w:val="row-content-rich-text"/>
              </w:rPr>
              <w:t xml:space="preserve">Wages/salary/own business refers to income derived from regular employment or profits from a private business, including farms or properties.</w:t>
            </w:r>
          </w:p>
          <w:p>
            <w:pPr>
              <w:spacing w:after="160"/>
            </w:pPr>
            <w:r>
              <w:rPr>
                <w:rStyle w:val="row-content-rich-text"/>
              </w:rPr>
              <w:t xml:space="preserve">CODE 22 Spouse/partner's income</w:t>
            </w:r>
            <w:r>
              <w:br/>
            </w:r>
            <w:r>
              <w:rPr>
                <w:rStyle w:val="row-content-rich-text"/>
              </w:rPr>
              <w:t xml:space="preserve">Spouse/partner’s income refers to income regularly obtained from the client’s spouse or partner. This does not include payments from a former spouse paid as spousal maintenance.</w:t>
            </w:r>
          </w:p>
          <w:p>
            <w:pPr>
              <w:spacing w:after="160"/>
            </w:pPr>
            <w:r>
              <w:rPr>
                <w:rStyle w:val="row-content-rich-text"/>
              </w:rPr>
              <w:t xml:space="preserve">CODE 28 Austudy payment for students aged 25 years and over</w:t>
            </w:r>
            <w:r>
              <w:br/>
            </w:r>
            <w:r>
              <w:rPr>
                <w:rStyle w:val="row-content-rich-text"/>
              </w:rPr>
              <w:t xml:space="preserve">Austudy payment for students aged 25 years and over refers to a Commonwealth government payment for full-time students aged 25 years and over doing an approved course at an approved education institution.</w:t>
            </w:r>
          </w:p>
          <w:p>
            <w:pPr>
              <w:spacing w:after="160"/>
            </w:pPr>
            <w:r>
              <w:rPr>
                <w:rStyle w:val="row-content-rich-text"/>
              </w:rPr>
              <w:t xml:space="preserve">CODE 31 ABSTUDY</w:t>
            </w:r>
            <w:r>
              <w:br/>
            </w:r>
            <w:r>
              <w:rPr>
                <w:rStyle w:val="row-content-rich-text"/>
              </w:rPr>
              <w:t xml:space="preserve">ABSTUDY refers to a Commonwealth government payment to people who are of Aboriginal or Torres Strait Islander descent according to the ABSTUDY definition of Aboriginality, who are studying an approved course at an approved education institution; and who do not receive any other government assistance for study.</w:t>
            </w:r>
          </w:p>
          <w:p>
            <w:pPr>
              <w:spacing w:after="160"/>
            </w:pPr>
            <w:r>
              <w:rPr>
                <w:rStyle w:val="row-content-rich-text"/>
              </w:rPr>
              <w:t xml:space="preserve">CODE 33 Youth allowance</w:t>
            </w:r>
            <w:r>
              <w:br/>
            </w:r>
            <w:r>
              <w:rPr>
                <w:rStyle w:val="row-content-rich-text"/>
              </w:rPr>
              <w:t xml:space="preserve">Youth allowance refers to the Commonwealth government payments to young people including students and those looking for work. This includes full-time students 16–24 years or unemployed people aged under 21 years who are undertaking job search or a combination of approved activities.</w:t>
            </w:r>
          </w:p>
          <w:p>
            <w:pPr>
              <w:spacing w:after="160"/>
            </w:pPr>
            <w:r>
              <w:rPr>
                <w:rStyle w:val="row-content-rich-text"/>
              </w:rPr>
              <w:t xml:space="preserve">CODE 34 Parenting payment</w:t>
            </w:r>
            <w:r>
              <w:br/>
            </w:r>
            <w:r>
              <w:rPr>
                <w:rStyle w:val="row-content-rich-text"/>
              </w:rPr>
              <w:t xml:space="preserve">Parenting payment refers to a Commonwealth government payment to a parent, grandparent, foster carer who is supporting at least one child under the age of 16 years. The parenting payment is only paid to one member of a couple.</w:t>
            </w:r>
          </w:p>
          <w:p>
            <w:pPr>
              <w:spacing w:after="160"/>
            </w:pPr>
            <w:r>
              <w:rPr>
                <w:rStyle w:val="row-content-rich-text"/>
              </w:rPr>
              <w:t xml:space="preserve">CODE 35 DVA payment (pension or support)</w:t>
            </w:r>
            <w:r>
              <w:br/>
            </w:r>
            <w:r>
              <w:rPr>
                <w:rStyle w:val="row-content-rich-text"/>
              </w:rPr>
              <w:t xml:space="preserve">DVA payment (pension or support) refers to a Department of Veteran’s Affairs service pension or disability pension. DVA service pensions are means-tested and are paid to eligible veterans and eligible partners (including widow/er’s and dependents). Examples are the age service pension, invalidity service pension, social security age pension (paid by DVA), and partner service pension.</w:t>
            </w:r>
          </w:p>
          <w:p>
            <w:pPr>
              <w:spacing w:after="160"/>
            </w:pPr>
            <w:r>
              <w:rPr>
                <w:rStyle w:val="row-content-rich-text"/>
              </w:rPr>
              <w:t xml:space="preserve">CODE 36 Other type of allowance or benefit</w:t>
            </w:r>
            <w:r>
              <w:br/>
            </w:r>
            <w:r>
              <w:rPr>
                <w:rStyle w:val="row-content-rich-text"/>
              </w:rPr>
              <w:t xml:space="preserve">Other type of allowance or benefit refers to any other Centrelink, Department of Veteran’s Affairs (DVA) or other government payment that is not listed above. An example is sickness allowance.</w:t>
            </w:r>
          </w:p>
          <w:p>
            <w:pPr>
              <w:spacing w:after="160"/>
            </w:pPr>
            <w:r>
              <w:rPr>
                <w:rStyle w:val="row-content-rich-text"/>
              </w:rPr>
              <w:t xml:space="preserve">CODE 88 Other</w:t>
            </w:r>
            <w:r>
              <w:br/>
            </w:r>
            <w:r>
              <w:rPr>
                <w:rStyle w:val="row-content-rich-text"/>
              </w:rPr>
              <w:t xml:space="preserve">Other refers to any other income source not defined above.</w:t>
            </w:r>
          </w:p>
          <w:p>
            <w:pPr>
              <w:spacing w:after="160"/>
            </w:pPr>
            <w:r>
              <w:rPr>
                <w:rStyle w:val="row-content-rich-text"/>
              </w:rPr>
              <w:t xml:space="preserve">CODE 97 No income</w:t>
            </w:r>
            <w:r>
              <w:br/>
            </w:r>
            <w:r>
              <w:rPr>
                <w:rStyle w:val="row-content-rich-text"/>
              </w:rPr>
              <w:t xml:space="preserve">No income means the client has no money coming in or has only a small and irregular amount of money coming in. This option is chosen if a client has left a relationship and no longer has access to her/his partner’s income. If the client has recently applied for a government payment, registered/awaiting benefit is chosen.</w:t>
            </w:r>
          </w:p>
          <w:p>
            <w:pPr/>
            <w:r>
              <w:rPr>
                <w:rStyle w:val="row-content-rich-text"/>
              </w:rPr>
              <w:t xml:space="preserve">CODE 99 Not stated/inadequately described</w:t>
            </w:r>
            <w:r>
              <w:br/>
            </w:r>
            <w:r>
              <w:rPr>
                <w:rStyle w:val="row-content-rich-text"/>
              </w:rPr>
              <w:t xml:space="preserve">Not stated/inadequately described is chosen if there is insufficient information to determine the client’s main income source, or if the client did not want to answer this question.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f132f6ca1514f3a">
              <w:r>
                <w:rPr>
                  <w:rStyle w:val="Hyperlink"/>
                </w:rPr>
                <w:t xml:space="preserve">Person—source of cash income (principal), SAAP code N</w:t>
              </w:r>
            </w:hyperlink>
          </w:p>
          <w:p>
            <w:pPr>
              <w:spacing w:before="0" w:after="0"/>
            </w:pPr>
            <w:r>
              <w:rPr>
                <w:rStyle w:val="row-content"/>
                <w:color w:val="244061"/>
              </w:rPr>
              <w:t xml:space="preserve">       </w:t>
            </w:r>
            <w:hyperlink w:history="true" r:id="Rc4e2366f6b384523">
              <w:r>
                <w:rPr>
                  <w:rStyle w:val="Hyperlink"/>
                  <w:color w:val="244061"/>
                </w:rPr>
                <w:t xml:space="preserve">Community Services (retired)</w:t>
              </w:r>
            </w:hyperlink>
            <w:r>
              <w:rPr>
                <w:rStyle w:val="row-content"/>
                <w:color w:val="244061"/>
              </w:rPr>
              <w:t xml:space="preserve">, Recorded 07/08/2007</w:t>
            </w:r>
          </w:p>
          <w:p>
            <w:r>
              <w:br/>
            </w:r>
          </w:p>
        </w:tc>
      </w:tr>
    </w:tbl>
    <w:p>
      <w:r>
        <w:br/>
      </w:r>
    </w:p>
    <w:sectPr>
      <w:footerReference xmlns:r="http://schemas.openxmlformats.org/officeDocument/2006/relationships" w:type="default" r:id="Recb1a0673a5447a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348582</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a49c72918974fa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cb1a0673a5447ab" /><Relationship Type="http://schemas.openxmlformats.org/officeDocument/2006/relationships/header" Target="/word/header1.xml" Id="Re71720078ebd404c" /><Relationship Type="http://schemas.openxmlformats.org/officeDocument/2006/relationships/settings" Target="/word/settings.xml" Id="Ra241443598d948ba" /><Relationship Type="http://schemas.openxmlformats.org/officeDocument/2006/relationships/styles" Target="/word/styles.xml" Id="Rc4fa9f8b234a4543" /><Relationship Type="http://schemas.openxmlformats.org/officeDocument/2006/relationships/hyperlink" Target="https://meteor.aihw.gov.au/RegistrationAuthority/1" TargetMode="External" Id="R2688bf1e1c754afb" /><Relationship Type="http://schemas.openxmlformats.org/officeDocument/2006/relationships/hyperlink" Target="https://meteor.aihw.gov.au/content/348574" TargetMode="External" Id="R5f132f6ca1514f3a" /><Relationship Type="http://schemas.openxmlformats.org/officeDocument/2006/relationships/hyperlink" Target="https://meteor.aihw.gov.au/RegistrationAuthority/1" TargetMode="External" Id="Rc4e2366f6b384523" /></Relationships>
</file>

<file path=word/_rels/header1.xml.rels>&#65279;<?xml version="1.0" encoding="utf-8"?><Relationships xmlns="http://schemas.openxmlformats.org/package/2006/relationships"><Relationship Type="http://schemas.openxmlformats.org/officeDocument/2006/relationships/image" Target="/media/image.png" Id="R2a49c72918974fa0" /></Relationships>
</file>