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0e66d99a25415e"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syndrome—pharmacotherapy type taken post discharge from hospital,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syndrome—pharmacotherapy type taken post discharge from hospital,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Pharmacotherapy type taken for acute coronary syndrome post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e273275eea492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pharmacotherapy being taken by a person for the treatment of acute coronary syndrome following discharge from hospital,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098a9c65f84d7c">
              <w:r>
                <w:rPr>
                  <w:rStyle w:val="Hyperlink"/>
                </w:rPr>
                <w:t xml:space="preserve">Person with acute coronary syndrome—pharmacotherapy type taken post discharge from hospital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258ff7150d4b8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pharmacotherapy being taken by a person for the treatment of acute coronary syndrome following discharge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0b0628adf7442f">
              <w:r>
                <w:rPr>
                  <w:rStyle w:val="Hyperlink"/>
                </w:rPr>
                <w:t xml:space="preserve">Person with acute coronary syndrome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3771904d2b4aab">
              <w:r>
                <w:rPr>
                  <w:rStyle w:val="Hyperlink"/>
                </w:rPr>
                <w:t xml:space="preserve">Pharmacotherapy type taken post discharge from hospital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ebbe1efecf4743">
              <w:r>
                <w:rPr>
                  <w:rStyle w:val="Hyperlink"/>
                </w:rPr>
                <w:t xml:space="preserve">Acute coronary syndrome pharmacotherapy type taken post discharge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93272937de465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pharmacotherapy taken after discharge from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Aspirin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Angiotensin converting enzyme (ACE) inhibitor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Angiotensin II receptor blocker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Beta-blocker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Clopidogrel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Statin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Aspirin</w:t>
            </w:r>
          </w:p>
          <w:p>
            <w:pPr>
              <w:spacing w:after="160"/>
            </w:pPr>
            <w:r>
              <w:rPr>
                <w:rStyle w:val="row-content-rich-text"/>
              </w:rPr>
              <w:t xml:space="preserve">Includes: aspirin, astrix, cardiprin, cartia, aspro, disprin and solprin</w:t>
            </w:r>
          </w:p>
          <w:p>
            <w:pPr>
              <w:spacing w:after="160"/>
            </w:pPr>
            <w:r>
              <w:rPr>
                <w:rStyle w:val="row-content-rich-text"/>
              </w:rPr>
              <w:t xml:space="preserve">CODE 2     Angiotensin converting enzyme (ACE) inhibitor</w:t>
            </w:r>
          </w:p>
          <w:p>
            <w:pPr>
              <w:spacing w:after="160"/>
            </w:pPr>
            <w:r>
              <w:rPr>
                <w:rStyle w:val="row-content-rich-text"/>
              </w:rPr>
              <w:t xml:space="preserve">Includes: captopril, enalapril, fosinopril, lisinopril, perindopril, quinapril, ramipril and trandolapril</w:t>
            </w:r>
          </w:p>
          <w:p>
            <w:pPr>
              <w:spacing w:after="160"/>
            </w:pPr>
            <w:r>
              <w:rPr>
                <w:rStyle w:val="row-content-rich-text"/>
              </w:rPr>
              <w:t xml:space="preserve">CODE 3     Angiotensin II receptor blocker</w:t>
            </w:r>
          </w:p>
          <w:p>
            <w:pPr>
              <w:spacing w:after="160"/>
            </w:pPr>
            <w:r>
              <w:rPr>
                <w:rStyle w:val="row-content-rich-text"/>
              </w:rPr>
              <w:t xml:space="preserve">Includes: candesartan, eprosartan, irbesartan, losartin and temisartan</w:t>
            </w:r>
          </w:p>
          <w:p>
            <w:pPr>
              <w:spacing w:after="160"/>
            </w:pPr>
            <w:r>
              <w:rPr>
                <w:rStyle w:val="row-content-rich-text"/>
              </w:rPr>
              <w:t xml:space="preserve">CODE 4     Beta-blocker</w:t>
            </w:r>
          </w:p>
          <w:p>
            <w:pPr>
              <w:spacing w:after="160"/>
            </w:pPr>
            <w:r>
              <w:rPr>
                <w:rStyle w:val="row-content-rich-text"/>
              </w:rPr>
              <w:t xml:space="preserve">Includes: atenolol, bisoprolol, carvedilol, esmolol, labetolol, metoprolol, oxprenolol, pindolol, propranolol and sotalol</w:t>
            </w:r>
          </w:p>
          <w:p>
            <w:pPr>
              <w:spacing w:after="160"/>
            </w:pPr>
            <w:r>
              <w:rPr>
                <w:rStyle w:val="row-content-rich-text"/>
              </w:rPr>
              <w:t xml:space="preserve">CODE 5     Clopidogrel</w:t>
            </w:r>
          </w:p>
          <w:p>
            <w:pPr>
              <w:spacing w:after="160"/>
            </w:pPr>
            <w:r>
              <w:rPr>
                <w:rStyle w:val="row-content-rich-text"/>
              </w:rPr>
              <w:t xml:space="preserve">Includes: iscover and plavix</w:t>
            </w:r>
          </w:p>
          <w:p>
            <w:pPr>
              <w:spacing w:after="160"/>
            </w:pPr>
            <w:r>
              <w:rPr>
                <w:rStyle w:val="row-content-rich-text"/>
              </w:rPr>
              <w:t xml:space="preserve">CODE 6     Statin</w:t>
            </w:r>
          </w:p>
          <w:p>
            <w:pPr/>
            <w:r>
              <w:rPr>
                <w:rStyle w:val="row-content-rich-text"/>
              </w:rPr>
              <w:t xml:space="preserve">Includes: atorvastatin, fluvastatin, pravastatin and simvastatin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may be taking one or more type of medication for acute coronary syndromes (ACS). Therefore more than one code may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Following a person's hospital stay for ACS, follow-up consultations with a clinician may occur at various intervals, such as 3, 6 or 12 months after discharge from hospital. The medications being taken by the person at the time of each follow-up consultation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pharmacotherapies for the treatment of ACS that could be taken post discharge from hospital are different from the types that could be taken during the hospital stay as not all of the pharmacotherapies used for the treatment of ACS are for out of hospital use.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2dc751b5ee41c3">
              <w:r>
                <w:rPr>
                  <w:rStyle w:val="Hyperlink"/>
                </w:rPr>
                <w:t xml:space="preserve">Acute coronary syndrome pharmacotherapy data cluster</w:t>
              </w:r>
            </w:hyperlink>
          </w:p>
          <w:p>
            <w:pPr>
              <w:spacing w:before="0" w:after="0"/>
            </w:pPr>
            <w:r>
              <w:rPr>
                <w:rStyle w:val="row-content"/>
                <w:color w:val="244061"/>
              </w:rPr>
              <w:t xml:space="preserve">       </w:t>
            </w:r>
            <w:hyperlink w:history="true" r:id="R5b078364ba5d4fc8">
              <w:r>
                <w:rPr>
                  <w:rStyle w:val="Hyperlink"/>
                  <w:color w:val="244061"/>
                </w:rPr>
                <w:t xml:space="preserve">Health</w:t>
              </w:r>
            </w:hyperlink>
            <w:r>
              <w:rPr>
                <w:rStyle w:val="row-content"/>
                <w:color w:val="244061"/>
              </w:rPr>
              <w:t xml:space="preserve">, Standard 01/10/2008</w:t>
            </w:r>
          </w:p>
          <w:p>
            <w:r>
              <w:rPr>
                <w:rStyle w:val="row-content"/>
                <w:b/>
                <w:i/>
              </w:rPr>
              <w:t xml:space="preserve">DSS specific information: </w:t>
            </w:r>
            <w:r>
              <w:rPr>
                <w:rStyle w:val="row-content"/>
              </w:rPr>
              <w:t xml:space="preserve">To be provided at the follow-up visit following discharge from the hospital  for each of the relevant pharmacotherapy types prescribed.</w:t>
            </w:r>
            <w:r>
              <w:br/>
            </w:r>
            <w:r>
              <w:br/>
            </w:r>
          </w:p>
        </w:tc>
      </w:tr>
    </w:tbl>
    <w:p/>
    <w:tbl>
      <w:tblPr>
        <w:tblStyle w:val="TableGrid"/>
        <w:tblW w:w="0" w:type="auto"/>
      </w:tblPr>
    </w:tbl>
    <w:p>
      <w:r>
        <w:br/>
      </w:r>
    </w:p>
    <w:sectPr>
      <w:footerReference xmlns:r="http://schemas.openxmlformats.org/officeDocument/2006/relationships" w:type="default" r:id="R2c52cc3bb1d74e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344822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fa95fc085a48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52cc3bb1d74e3d" /><Relationship Type="http://schemas.openxmlformats.org/officeDocument/2006/relationships/header" Target="/word/header1.xml" Id="R99efc7d33b754dca" /><Relationship Type="http://schemas.openxmlformats.org/officeDocument/2006/relationships/settings" Target="/word/settings.xml" Id="R59a98315d84c47b2" /><Relationship Type="http://schemas.openxmlformats.org/officeDocument/2006/relationships/styles" Target="/word/styles.xml" Id="R103712eae578485d" /><Relationship Type="http://schemas.openxmlformats.org/officeDocument/2006/relationships/hyperlink" Target="https://meteor.aihw.gov.au/RegistrationAuthority/12" TargetMode="External" Id="Rd7e273275eea492f" /><Relationship Type="http://schemas.openxmlformats.org/officeDocument/2006/relationships/hyperlink" Target="https://meteor.aihw.gov.au/content/338345" TargetMode="External" Id="R6b098a9c65f84d7c" /><Relationship Type="http://schemas.openxmlformats.org/officeDocument/2006/relationships/hyperlink" Target="https://meteor.aihw.gov.au/RegistrationAuthority/12" TargetMode="External" Id="R14258ff7150d4b82" /><Relationship Type="http://schemas.openxmlformats.org/officeDocument/2006/relationships/hyperlink" Target="https://meteor.aihw.gov.au/content/284638" TargetMode="External" Id="R270b0628adf7442f" /><Relationship Type="http://schemas.openxmlformats.org/officeDocument/2006/relationships/hyperlink" Target="https://meteor.aihw.gov.au/content/351101" TargetMode="External" Id="R233771904d2b4aab" /><Relationship Type="http://schemas.openxmlformats.org/officeDocument/2006/relationships/hyperlink" Target="https://meteor.aihw.gov.au/content/349476" TargetMode="External" Id="R48ebbe1efecf4743" /><Relationship Type="http://schemas.openxmlformats.org/officeDocument/2006/relationships/hyperlink" Target="https://meteor.aihw.gov.au/RegistrationAuthority/12" TargetMode="External" Id="Re993272937de4655" /><Relationship Type="http://schemas.openxmlformats.org/officeDocument/2006/relationships/hyperlink" Target="https://meteor.aihw.gov.au/content/351876" TargetMode="External" Id="Re22dc751b5ee41c3" /><Relationship Type="http://schemas.openxmlformats.org/officeDocument/2006/relationships/hyperlink" Target="https://meteor.aihw.gov.au/RegistrationAuthority/12" TargetMode="External" Id="R5b078364ba5d4fc8" /></Relationships>
</file>

<file path=word/_rels/header1.xml.rels>&#65279;<?xml version="1.0" encoding="utf-8"?><Relationships xmlns="http://schemas.openxmlformats.org/package/2006/relationships"><Relationship Type="http://schemas.openxmlformats.org/officeDocument/2006/relationships/image" Target="/media/image.png" Id="R5ffa95fc085a48de" /></Relationships>
</file>