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83edb68d94d91"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prescribed in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prescribed in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Pharmacotherapy type prescribed for acute coronary syndrome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ACS pharmacotherapy type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8dea6cd3e4dc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in hospital for the treatment of acute coronary syndrome,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77334bde264f96">
              <w:r>
                <w:rPr>
                  <w:rStyle w:val="Hyperlink"/>
                </w:rPr>
                <w:t xml:space="preserve">Person with acute coronary syndrome—pharmacotherapy type prescribed in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cd3df1c884ae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for the treatment of acute coronary syndrome in hospital including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e7c9fcc8c04182">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7fa657577d41b7">
              <w:r>
                <w:rPr>
                  <w:rStyle w:val="Hyperlink"/>
                </w:rPr>
                <w:t xml:space="preserve">Pharmacotherapy type prescribed in hospital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17f31d700c4c0f">
              <w:r>
                <w:rPr>
                  <w:rStyle w:val="Hyperlink"/>
                </w:rPr>
                <w:t xml:space="preserve">Acute coronary syndrome pharmacotherapy type prescribed in hospital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c6142065843e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pharmacotherapy prescribed in hospital for the treatment of acute coronary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Antithrombin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Fibrinolytic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Glycoprotein IIb/IIIa receptor antagonist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 </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Antithrombin</w:t>
            </w:r>
          </w:p>
          <w:p>
            <w:pPr>
              <w:spacing w:after="160"/>
            </w:pPr>
            <w:r>
              <w:rPr>
                <w:rStyle w:val="row-content-rich-text"/>
              </w:rPr>
              <w:t xml:space="preserve">Includes: dalteparin, danaparoid, enoxaparin, heparin, phenindione, warfarin, bivalirudin, fondaparinux, lepirudin</w:t>
            </w:r>
          </w:p>
          <w:p>
            <w:pPr>
              <w:spacing w:after="160"/>
            </w:pPr>
            <w:r>
              <w:rPr>
                <w:rStyle w:val="row-content-rich-text"/>
              </w:rPr>
              <w:t xml:space="preserve">CODE 5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6     Clopidogrel</w:t>
            </w:r>
          </w:p>
          <w:p>
            <w:pPr>
              <w:spacing w:after="160"/>
            </w:pPr>
            <w:r>
              <w:rPr>
                <w:rStyle w:val="row-content-rich-text"/>
              </w:rPr>
              <w:t xml:space="preserve">Includes: iscover and plavix</w:t>
            </w:r>
          </w:p>
          <w:p>
            <w:pPr>
              <w:spacing w:after="160"/>
            </w:pPr>
            <w:r>
              <w:rPr>
                <w:rStyle w:val="row-content-rich-text"/>
              </w:rPr>
              <w:t xml:space="preserve">CODE 7     Fibrinolytic</w:t>
            </w:r>
          </w:p>
          <w:p>
            <w:pPr>
              <w:spacing w:after="160"/>
            </w:pPr>
            <w:r>
              <w:rPr>
                <w:rStyle w:val="row-content-rich-text"/>
              </w:rPr>
              <w:t xml:space="preserve">Includes: streptokinase, tissue plasminogen activator (t-PA) (alteplase), reteplase (r-PA) and tenecteplase (TNK t-PA)</w:t>
            </w:r>
          </w:p>
          <w:p>
            <w:pPr>
              <w:spacing w:after="160"/>
            </w:pPr>
            <w:r>
              <w:rPr>
                <w:rStyle w:val="row-content-rich-text"/>
              </w:rPr>
              <w:t xml:space="preserve">CODE 8    Glycoprotein IIb/IIIa receptor</w:t>
            </w:r>
          </w:p>
          <w:p>
            <w:pPr>
              <w:spacing w:after="160"/>
            </w:pPr>
            <w:r>
              <w:rPr>
                <w:rStyle w:val="row-content-rich-text"/>
              </w:rPr>
              <w:t xml:space="preserve">Includes: abciximab, eptifibatide and tirofiban</w:t>
            </w:r>
          </w:p>
          <w:p>
            <w:pPr>
              <w:spacing w:after="160"/>
            </w:pPr>
            <w:r>
              <w:rPr>
                <w:rStyle w:val="row-content-rich-text"/>
              </w:rPr>
              <w:t xml:space="preserve">CODE 9    Statin</w:t>
            </w:r>
          </w:p>
          <w:p>
            <w:pPr/>
            <w:r>
              <w:rPr>
                <w:rStyle w:val="row-content-rich-text"/>
              </w:rPr>
              <w:t xml:space="preserve">Includes: atorvastatin, fluvastatin, pravastatin and simvastatin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prescribed one or more type of medication for acute coronary syndromes. Therefore more than one code may be recorded.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recorded at the end of the person's hospital stay involving the treatment of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collect information on the prescription of pharmacotherapy recommended for the treatment of acute coronary syndromes in the national guidelines. Additional information on the specific drug types prescribed is not required for this quality purpose.</w:t>
            </w:r>
          </w:p>
          <w:p>
            <w:pPr/>
            <w:r>
              <w:rPr>
                <w:rStyle w:val="row-content-rich-text"/>
              </w:rPr>
              <w:t xml:space="preserve">The health service may choose to collect additional information on the specific drug types prescribed within each of the core pharmacotherapies.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a172526674321">
              <w:r>
                <w:rPr>
                  <w:rStyle w:val="Hyperlink"/>
                </w:rPr>
                <w:t xml:space="preserve">Acute coronary syndrome pharmacotherapy data cluster</w:t>
              </w:r>
            </w:hyperlink>
          </w:p>
          <w:p>
            <w:pPr>
              <w:spacing w:before="0" w:after="0"/>
            </w:pPr>
            <w:r>
              <w:rPr>
                <w:rStyle w:val="row-content"/>
                <w:color w:val="244061"/>
              </w:rPr>
              <w:t xml:space="preserve">       </w:t>
            </w:r>
            <w:hyperlink w:history="true" r:id="R0e30fcf224754083">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Codes provided for each of those prescribed during this hospital presentation.</w:t>
            </w:r>
            <w:r>
              <w:br/>
            </w:r>
            <w:r>
              <w:br/>
            </w:r>
          </w:p>
        </w:tc>
      </w:tr>
    </w:tbl>
    <w:p/>
    <w:tbl>
      <w:tblPr>
        <w:tblStyle w:val="TableGrid"/>
        <w:tblW w:w="0" w:type="auto"/>
      </w:tblPr>
    </w:tbl>
    <w:p>
      <w:r>
        <w:br/>
      </w:r>
    </w:p>
    <w:sectPr>
      <w:footerReference xmlns:r="http://schemas.openxmlformats.org/officeDocument/2006/relationships" w:type="default" r:id="Rade1b65be55f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fca3fed17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1b65be55f424a" /><Relationship Type="http://schemas.openxmlformats.org/officeDocument/2006/relationships/header" Target="/word/header1.xml" Id="R7df25261b72646fd" /><Relationship Type="http://schemas.openxmlformats.org/officeDocument/2006/relationships/settings" Target="/word/settings.xml" Id="Re49f8328c0e348c8" /><Relationship Type="http://schemas.openxmlformats.org/officeDocument/2006/relationships/styles" Target="/word/styles.xml" Id="R9c9092c139b64134" /><Relationship Type="http://schemas.openxmlformats.org/officeDocument/2006/relationships/hyperlink" Target="https://meteor.aihw.gov.au/RegistrationAuthority/12" TargetMode="External" Id="R07a8dea6cd3e4dc8" /><Relationship Type="http://schemas.openxmlformats.org/officeDocument/2006/relationships/hyperlink" Target="https://meteor.aihw.gov.au/content/344342" TargetMode="External" Id="R6177334bde264f96" /><Relationship Type="http://schemas.openxmlformats.org/officeDocument/2006/relationships/hyperlink" Target="https://meteor.aihw.gov.au/RegistrationAuthority/12" TargetMode="External" Id="R7b2cd3df1c884ae8" /><Relationship Type="http://schemas.openxmlformats.org/officeDocument/2006/relationships/hyperlink" Target="https://meteor.aihw.gov.au/content/284638" TargetMode="External" Id="R88e7c9fcc8c04182" /><Relationship Type="http://schemas.openxmlformats.org/officeDocument/2006/relationships/hyperlink" Target="https://meteor.aihw.gov.au/content/344340" TargetMode="External" Id="Re07fa657577d41b7" /><Relationship Type="http://schemas.openxmlformats.org/officeDocument/2006/relationships/hyperlink" Target="https://meteor.aihw.gov.au/content/344299" TargetMode="External" Id="R2817f31d700c4c0f" /><Relationship Type="http://schemas.openxmlformats.org/officeDocument/2006/relationships/hyperlink" Target="https://meteor.aihw.gov.au/RegistrationAuthority/12" TargetMode="External" Id="R93bc6142065843ee" /><Relationship Type="http://schemas.openxmlformats.org/officeDocument/2006/relationships/hyperlink" Target="https://meteor.aihw.gov.au/content/351876" TargetMode="External" Id="R09aa172526674321" /><Relationship Type="http://schemas.openxmlformats.org/officeDocument/2006/relationships/hyperlink" Target="https://meteor.aihw.gov.au/RegistrationAuthority/12" TargetMode="External" Id="R0e30fcf224754083" /></Relationships>
</file>

<file path=word/_rels/header1.xml.rels>&#65279;<?xml version="1.0" encoding="utf-8"?><Relationships xmlns="http://schemas.openxmlformats.org/package/2006/relationships"><Relationship Type="http://schemas.openxmlformats.org/officeDocument/2006/relationships/image" Target="/media/image.png" Id="Rea1fca3fed174eae" /></Relationships>
</file>