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a7adb774fe944e9" /></Relationships>
</file>

<file path=word/document.xml><?xml version="1.0" encoding="utf-8"?>
<w:document xmlns:r="http://schemas.openxmlformats.org/officeDocument/2006/relationships" xmlns:w="http://schemas.openxmlformats.org/wordprocessingml/2006/main">
  <w:body>
    <w:p>
      <w:pPr>
        <w:pStyle w:val="Title"/>
      </w:pPr>
      <w:r>
        <w:t>Person—maximum stenosis left circumflex coronary artery, percentage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Person—maximum stenosis left circumflex coronary artery, percentage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Maximum stenosis left circumflex coronary artery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344317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2edbeefd474056">
              <w:r>
                <w:rPr>
                  <w:rStyle w:val="Hyperlink"/>
                  <w:color w:val="244061"/>
                </w:rPr>
                <w:t xml:space="preserve">Health</w:t>
              </w:r>
            </w:hyperlink>
            <w:r>
              <w:rPr>
                <w:rStyle w:val="row-content"/>
                <w:color w:val="244061"/>
              </w:rPr>
              <w:t xml:space="preserve">, Recorded 21/05/2007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percentage of stenosis at its maximal point in a person's left circumflex coronary artery (LCx).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2ea08fca5cf4998">
              <w:r>
                <w:rPr>
                  <w:rStyle w:val="Hyperlink"/>
                </w:rPr>
                <w:t xml:space="preserve">Person—maximum stenosis left  circumflex coronary artery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a097891ae8e4be5">
              <w:r>
                <w:rPr>
                  <w:rStyle w:val="Hyperlink"/>
                </w:rPr>
                <w:t xml:space="preserve">Percentage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Stenosis represents the percentage of occlusion, from 0 to 100%, associated with the identified vessel system. </w:t>
            </w:r>
            <w:r>
              <w:rPr>
                <w:rStyle w:val="row-content-rich-text"/>
              </w:rPr>
              <w:t xml:space="preserve">Percent stenosis at its maximal point is estimated to be the amount of reduction in the diameter of the “normal” vessel proximal and distal to the lesion. </w:t>
            </w:r>
          </w:p>
          <w:p>
            <w:pPr>
              <w:spacing w:after="160"/>
            </w:pPr>
            <w:r>
              <w:rPr>
                <w:rStyle w:val="row-content-rich-text"/>
              </w:rPr>
              <w:t xml:space="preserve">Stenosis reported under this vessel location should include stenosis in the major branches (vessel diameter &gt; 2.0mm) of the LCx, that is, the diagonal branches.</w:t>
            </w:r>
          </w:p>
          <w:p>
            <w:pPr/>
            <w:r>
              <w:rPr>
                <w:rStyle w:val="row-content-rich-text"/>
              </w:rPr>
              <w:t xml:space="preserve">In instances where multiple lesions are present, collect the highest percentage stenosis noted.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is derived from visual estimation by the physician reporting the angiogram.</w:t>
            </w:r>
          </w:p>
          <w:p>
            <w:pPr>
              <w:spacing w:after="160"/>
            </w:pPr>
            <w:r>
              <w:rPr>
                <w:rStyle w:val="row-content-rich-text"/>
              </w:rPr>
              <w:t xml:space="preserve">When reporting stenosis in coronary arteries, reporting of all the following coronary vessels is mandatory.</w:t>
            </w:r>
          </w:p>
          <w:p>
            <w:pPr>
              <w:spacing w:after="160"/>
            </w:pPr>
            <w:r>
              <w:rPr>
                <w:rStyle w:val="row-content-rich-text"/>
              </w:rPr>
              <w:t xml:space="preserve">- Diagonal coronary artery</w:t>
            </w:r>
          </w:p>
          <w:p>
            <w:pPr>
              <w:spacing w:after="160"/>
            </w:pPr>
            <w:r>
              <w:rPr>
                <w:rStyle w:val="row-content-rich-text"/>
              </w:rPr>
              <w:t xml:space="preserve">- Left anterior descending coronary artery</w:t>
            </w:r>
          </w:p>
          <w:p>
            <w:pPr>
              <w:spacing w:after="160"/>
            </w:pPr>
            <w:r>
              <w:rPr>
                <w:rStyle w:val="row-content-rich-text"/>
              </w:rPr>
              <w:t xml:space="preserve">- Inferior surface artery</w:t>
            </w:r>
          </w:p>
          <w:p>
            <w:pPr>
              <w:spacing w:after="160"/>
            </w:pPr>
            <w:r>
              <w:rPr>
                <w:rStyle w:val="row-content-rich-text"/>
              </w:rPr>
              <w:t xml:space="preserve">- Left circumflex coronary artery</w:t>
            </w:r>
          </w:p>
          <w:p>
            <w:pPr>
              <w:spacing w:after="160"/>
            </w:pPr>
            <w:r>
              <w:rPr>
                <w:rStyle w:val="row-content-rich-text"/>
              </w:rPr>
              <w:t xml:space="preserve">- Left main coronary artery</w:t>
            </w:r>
          </w:p>
          <w:p>
            <w:pPr>
              <w:spacing w:after="160"/>
            </w:pPr>
            <w:r>
              <w:rPr>
                <w:rStyle w:val="row-content-rich-text"/>
              </w:rPr>
              <w:t xml:space="preserve">- Posterior descending artery</w:t>
            </w:r>
          </w:p>
          <w:p>
            <w:pPr>
              <w:spacing w:after="160"/>
            </w:pPr>
            <w:r>
              <w:rPr>
                <w:rStyle w:val="row-content-rich-text"/>
              </w:rPr>
              <w:t xml:space="preserve">- Right coronary artery</w:t>
            </w:r>
          </w:p>
          <w:p>
            <w:pPr/>
            <w:r>
              <w:rPr>
                <w:rStyle w:val="row-content-rich-text"/>
              </w:rPr>
              <w:t xml:space="preserve"> </w:t>
            </w:r>
          </w:p>
        </w:tc>
      </w:tr>
    </w:tbl>
    <w:p/>
    <w:tbl>
      <w:tblPr>
        <w:tblStyle w:val="TableGrid"/>
        <w:tblW w:w="0" w:type="auto"/>
      </w:tblPr>
    </w:tbl>
    <w:p>
      <w:r>
        <w:br/>
      </w:r>
    </w:p>
    <w:sectPr>
      <w:footerReference xmlns:r="http://schemas.openxmlformats.org/officeDocument/2006/relationships" w:type="default" r:id="R465bdfec4c6b46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344317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9b7a1f34d74d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65bdfec4c6b4644" /><Relationship Type="http://schemas.openxmlformats.org/officeDocument/2006/relationships/header" Target="/word/header1.xml" Id="R1801b33c961d4bec" /><Relationship Type="http://schemas.openxmlformats.org/officeDocument/2006/relationships/settings" Target="/word/settings.xml" Id="R152650a584eb4db2" /><Relationship Type="http://schemas.openxmlformats.org/officeDocument/2006/relationships/styles" Target="/word/styles.xml" Id="Rd7ed43cc3d3249fe" /><Relationship Type="http://schemas.openxmlformats.org/officeDocument/2006/relationships/hyperlink" Target="https://meteor.aihw.gov.au/RegistrationAuthority/12" TargetMode="External" Id="R822edbeefd474056" /><Relationship Type="http://schemas.openxmlformats.org/officeDocument/2006/relationships/hyperlink" Target="https://meteor.aihw.gov.au/content/344315" TargetMode="External" Id="R12ea08fca5cf4998" /><Relationship Type="http://schemas.openxmlformats.org/officeDocument/2006/relationships/hyperlink" Target="https://meteor.aihw.gov.au/content/352691" TargetMode="External" Id="R2a097891ae8e4be5" /></Relationships>
</file>

<file path=word/_rels/header1.xml.rels>&#65279;<?xml version="1.0" encoding="utf-8"?><Relationships xmlns="http://schemas.openxmlformats.org/package/2006/relationships"><Relationship Type="http://schemas.openxmlformats.org/officeDocument/2006/relationships/image" Target="/media/image.png" Id="Rc69b7a1f34d74d29" /></Relationships>
</file>