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6d009a5864eb4"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prescribed in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prescribed in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5f736b63c415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pharmacotherapy prescribed in hospital for the treatment of acute coronary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Antithrombin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Fibrinolytic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Glycoprotein IIb/IIIa receptor antagonist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 </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Antithrombin</w:t>
            </w:r>
          </w:p>
          <w:p>
            <w:pPr>
              <w:spacing w:after="160"/>
            </w:pPr>
            <w:r>
              <w:rPr>
                <w:rStyle w:val="row-content-rich-text"/>
              </w:rPr>
              <w:t xml:space="preserve">Includes: dalteparin, danaparoid, enoxaparin, heparin, phenindione, warfarin, bivalirudin, fondaparinux, lepirudin</w:t>
            </w:r>
          </w:p>
          <w:p>
            <w:pPr>
              <w:spacing w:after="160"/>
            </w:pPr>
            <w:r>
              <w:rPr>
                <w:rStyle w:val="row-content-rich-text"/>
              </w:rPr>
              <w:t xml:space="preserve">CODE 5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6     Clopidogrel</w:t>
            </w:r>
          </w:p>
          <w:p>
            <w:pPr>
              <w:spacing w:after="160"/>
            </w:pPr>
            <w:r>
              <w:rPr>
                <w:rStyle w:val="row-content-rich-text"/>
              </w:rPr>
              <w:t xml:space="preserve">Includes: iscover and plavix</w:t>
            </w:r>
          </w:p>
          <w:p>
            <w:pPr>
              <w:spacing w:after="160"/>
            </w:pPr>
            <w:r>
              <w:rPr>
                <w:rStyle w:val="row-content-rich-text"/>
              </w:rPr>
              <w:t xml:space="preserve">CODE 7     Fibrinolytic</w:t>
            </w:r>
          </w:p>
          <w:p>
            <w:pPr>
              <w:spacing w:after="160"/>
            </w:pPr>
            <w:r>
              <w:rPr>
                <w:rStyle w:val="row-content-rich-text"/>
              </w:rPr>
              <w:t xml:space="preserve">Includes: streptokinase, tissue plasminogen activator (t-PA) (alteplase), reteplase (r-PA) and tenecteplase (TNK t-PA)</w:t>
            </w:r>
          </w:p>
          <w:p>
            <w:pPr>
              <w:spacing w:after="160"/>
            </w:pPr>
            <w:r>
              <w:rPr>
                <w:rStyle w:val="row-content-rich-text"/>
              </w:rPr>
              <w:t xml:space="preserve">CODE 8    Glycoprotein IIb/IIIa receptor</w:t>
            </w:r>
          </w:p>
          <w:p>
            <w:pPr>
              <w:spacing w:after="160"/>
            </w:pPr>
            <w:r>
              <w:rPr>
                <w:rStyle w:val="row-content-rich-text"/>
              </w:rPr>
              <w:t xml:space="preserve">Includes: abciximab, eptifibatide and tirofiban</w:t>
            </w:r>
          </w:p>
          <w:p>
            <w:pPr>
              <w:spacing w:after="160"/>
            </w:pPr>
            <w:r>
              <w:rPr>
                <w:rStyle w:val="row-content-rich-text"/>
              </w:rPr>
              <w:t xml:space="preserve">CODE 9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e9c5ffe95e450f">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3ad7af3273fd431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ff2ae09636c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0532ed29345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2ae09636c403d" /><Relationship Type="http://schemas.openxmlformats.org/officeDocument/2006/relationships/header" Target="/word/header1.xml" Id="R4483fee2c0b640d3" /><Relationship Type="http://schemas.openxmlformats.org/officeDocument/2006/relationships/settings" Target="/word/settings.xml" Id="R4d4c6c4556f5477b" /><Relationship Type="http://schemas.openxmlformats.org/officeDocument/2006/relationships/styles" Target="/word/styles.xml" Id="R46f55935a72a488d" /><Relationship Type="http://schemas.openxmlformats.org/officeDocument/2006/relationships/hyperlink" Target="https://meteor.aihw.gov.au/RegistrationAuthority/12" TargetMode="External" Id="Rd115f736b63c4150" /><Relationship Type="http://schemas.openxmlformats.org/officeDocument/2006/relationships/hyperlink" Target="https://meteor.aihw.gov.au/content/344344" TargetMode="External" Id="R91e9c5ffe95e450f" /><Relationship Type="http://schemas.openxmlformats.org/officeDocument/2006/relationships/hyperlink" Target="https://meteor.aihw.gov.au/RegistrationAuthority/12" TargetMode="External" Id="R3ad7af3273fd431f" /></Relationships>
</file>

<file path=word/_rels/header1.xml.rels>&#65279;<?xml version="1.0" encoding="utf-8"?><Relationships xmlns="http://schemas.openxmlformats.org/package/2006/relationships"><Relationship Type="http://schemas.openxmlformats.org/officeDocument/2006/relationships/image" Target="/media/image.png" Id="Rf450532ed2934538" /></Relationships>
</file>