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042175ba34b33" /></Relationships>
</file>

<file path=word/document.xml><?xml version="1.0" encoding="utf-8"?>
<w:document xmlns:r="http://schemas.openxmlformats.org/officeDocument/2006/relationships" xmlns:w="http://schemas.openxmlformats.org/wordprocessingml/2006/main">
  <w:body>
    <w:p>
      <w:pPr>
        <w:pStyle w:val="Title"/>
      </w:pPr>
      <w:r>
        <w:t>Electrocardiogram—bundle-branch block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Electrocardiogram—bundle-branch block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Bundle-branch block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f1028223d4b2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bundle-branch block status identified on a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5aae4b02b4083">
              <w:r>
                <w:rPr>
                  <w:rStyle w:val="Hyperlink"/>
                </w:rPr>
                <w:t xml:space="preserve">Electrocardiogram—bundle-branch block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0d136b211b4627">
              <w:r>
                <w:rPr>
                  <w:rStyle w:val="Hyperlink"/>
                </w:rPr>
                <w:t xml:space="preserve">Bundle-branch block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Uncertain timing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determine the bundle-branch block status, compare the current ECG to the preceding or most recently available ECG.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for each ECG that indicates a bundle-branch block is present.</w:t>
            </w:r>
          </w:p>
          <w:p>
            <w:pPr>
              <w:spacing w:after="160"/>
            </w:pPr>
            <w:r>
              <w:rPr>
                <w:rStyle w:val="row-content-rich-text"/>
              </w:rPr>
              <w:t xml:space="preserve">Only one bundle-branch block status can be recorded for each ECG performed.</w:t>
            </w:r>
          </w:p>
          <w:p>
            <w:pPr/>
            <w:r>
              <w:rPr>
                <w:rStyle w:val="row-content-rich-text"/>
              </w:rPr>
              <w:t xml:space="preserve">Only one bundle-branch block can occur at any one time, but in any given person, a left bundle-branch block may occur at one time point and a right bundle-branch block at another time point. Therefore, there can only be one bundle-branch block per ECG, but they may differ temporally.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1cefe8a414ea4">
              <w:r>
                <w:rPr>
                  <w:rStyle w:val="Hyperlink"/>
                </w:rPr>
                <w:t xml:space="preserve">Electrocardiogram cluster</w:t>
              </w:r>
            </w:hyperlink>
          </w:p>
          <w:p>
            <w:pPr>
              <w:pStyle w:val="registration-status"/>
              <w:spacing w:before="0" w:after="0"/>
            </w:pPr>
            <w:hyperlink w:history="true" r:id="Rdd3d30c9131749b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if a bundle-branch block has been detected on an electrocardiogram.</w:t>
            </w:r>
            <w:r>
              <w:br/>
            </w:r>
            <w:r>
              <w:br/>
            </w:r>
          </w:p>
        </w:tc>
      </w:tr>
    </w:tbl>
    <w:p/>
    <w:tbl>
      <w:tblPr>
        <w:tblStyle w:val="TableGrid"/>
        <w:tblW w:w="0" w:type="auto"/>
      </w:tblPr>
    </w:tbl>
    <w:p>
      <w:r>
        <w:br/>
      </w:r>
    </w:p>
    <w:sectPr>
      <w:footerReference xmlns:r="http://schemas.openxmlformats.org/officeDocument/2006/relationships" w:type="default" r:id="R4f7039b2f505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27d60b680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039b2f50547b8" /><Relationship Type="http://schemas.openxmlformats.org/officeDocument/2006/relationships/header" Target="/word/header1.xml" Id="R19b3fefbf0954dbe" /><Relationship Type="http://schemas.openxmlformats.org/officeDocument/2006/relationships/settings" Target="/word/settings.xml" Id="R2e09aa29c6284cc6" /><Relationship Type="http://schemas.openxmlformats.org/officeDocument/2006/relationships/styles" Target="/word/styles.xml" Id="Rd9a57092ba174602" /><Relationship Type="http://schemas.openxmlformats.org/officeDocument/2006/relationships/hyperlink" Target="https://meteor.aihw.gov.au/RegistrationAuthority/12" TargetMode="External" Id="R291f1028223d4b23" /><Relationship Type="http://schemas.openxmlformats.org/officeDocument/2006/relationships/hyperlink" Target="https://meteor.aihw.gov.au/content/343862" TargetMode="External" Id="R81e5aae4b02b4083" /><Relationship Type="http://schemas.openxmlformats.org/officeDocument/2006/relationships/hyperlink" Target="https://meteor.aihw.gov.au/content/343864" TargetMode="External" Id="Rf80d136b211b4627" /><Relationship Type="http://schemas.openxmlformats.org/officeDocument/2006/relationships/hyperlink" Target="https://meteor.aihw.gov.au/content/351884" TargetMode="External" Id="Rbe81cefe8a414ea4" /><Relationship Type="http://schemas.openxmlformats.org/officeDocument/2006/relationships/hyperlink" Target="https://meteor.aihw.gov.au/RegistrationAuthority/12" TargetMode="External" Id="Rdd3d30c9131749b7" /></Relationships>
</file>

<file path=word/_rels/header1.xml.rels>&#65279;<?xml version="1.0" encoding="utf-8"?><Relationships xmlns="http://schemas.openxmlformats.org/package/2006/relationships"><Relationship Type="http://schemas.openxmlformats.org/officeDocument/2006/relationships/image" Target="/media/image.png" Id="R7c527d60b6804dff" /></Relationships>
</file>