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050b77d1348e9"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d6f83a1245e4634">
                    <w:r>
                      <w:rPr>
                        <w:rStyle w:val="Hyperlink"/>
                      </w:rPr>
                      <w:t xml:space="preserve">Activity when injured</w:t>
                    </w:r>
                  </w:hyperlink>
                </w:p>
              </w:tc>
              <w:tc>
                <w:tcPr>
                  <w:vAlign w:val="top"/>
                </w:tcPr>
                <w:p>
                  <w:r>
                    <w:t xml:space="preserve">333849</w:t>
                  </w:r>
                </w:p>
              </w:tc>
              <w:tc>
                <w:tcPr>
                  <w:vAlign w:val="top"/>
                </w:tcPr>
                <w:p>
                  <w:r>
                    <w:t xml:space="preserve">String
[5]</w:t>
                  </w:r>
                </w:p>
              </w:tc>
              <w:tc>
                <w:tcPr>
                  <w:vAlign w:val="top"/>
                </w:tcPr>
                <w:p>
                  <w:r>
                    <w:t xml:space="preserve">ANNNN</w:t>
                  </w:r>
                  <w:r>
                    <w:br/>
                  </w:r>
                </w:p>
                <w:p>
                  <w:r>
                    <w:t xml:space="preserve">The ICD-10-AM (5th edition) code set representing the type of activity being undertaken when injured.</w:t>
                  </w:r>
                </w:p>
              </w:tc>
            </w:tr>
            <w:tr>
              <w:trPr/>
              <w:tc>
                <w:tcPr>
                  <w:tcMar>
                    <w:right w:w="29" w:type="dxa"/>
                  </w:tcMar>
                  <w:vAlign w:val="top"/>
                </w:tcPr>
                <w:p>
                  <w:pPr>
                    <w:keepNext/>
                    <w:jc w:val="center"/>
                  </w:pPr>
                  <w:r>
                    <w:t xml:space="preserve">-</w:t>
                  </w:r>
                </w:p>
              </w:tc>
              <w:tc>
                <w:tcPr>
                  <w:tcMar/>
                  <w:vAlign w:val="top"/>
                </w:tcPr>
                <w:p>
                  <w:hyperlink w:history="true" r:id="R88b85948c080417b">
                    <w:r>
                      <w:rPr>
                        <w:rStyle w:val="Hyperlink"/>
                      </w:rPr>
                      <w:t xml:space="preserve">Activity when injured (non-admitted patient)</w:t>
                    </w:r>
                  </w:hyperlink>
                </w:p>
              </w:tc>
              <w:tc>
                <w:tcPr>
                  <w:vAlign w:val="top"/>
                </w:tcPr>
                <w:p>
                  <w:r>
                    <w:t xml:space="preserve">268942</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Sports activity</w:t>
                        </w:r>
                      </w:p>
                    </w:tc>
                  </w:tr>
                  <w:tr>
                    <w:trPr/>
                    <w:tc>
                      <w:tcPr>
                        <w:tcW w:w="1000" w:type="pct"/>
                        <w:tcBorders>
                          <w:top w:val="none" w:color="000000" w:sz="0"/>
                          <w:left w:val="none" w:color="000000" w:sz="0"/>
                          <w:bottom w:val="none" w:color="000000" w:sz="0"/>
                          <w:right w:val="none" w:color="000000" w:sz="0"/>
                        </w:tcBorders>
                        <w:tcMar/>
                        <w:vAlign w:val="top"/>
                      </w:tcPr>
                      <w:p>
                        <w:r>
                          <w:t xml:space="preserve">00 </w:t>
                        </w:r>
                      </w:p>
                    </w:tc>
                    <w:tc>
                      <w:tcPr>
                        <w:tcBorders>
                          <w:top w:val="none" w:color="000000" w:sz="0"/>
                          <w:left w:val="none" w:color="000000" w:sz="0"/>
                          <w:bottom w:val="none" w:color="000000" w:sz="0"/>
                          <w:right w:val="none" w:color="000000" w:sz="0"/>
                        </w:tcBorders>
                        <w:tcMar/>
                        <w:vAlign w:val="top"/>
                      </w:tcPr>
                      <w:p>
                        <w:r>
                          <w:t xml:space="preserve">Football, rugby</w:t>
                        </w:r>
                      </w:p>
                    </w:tc>
                  </w:tr>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Football, Australian</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Football, soccer</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Hockey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Squash</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Basketball</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Netball</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Cricket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Roller blading</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Other and unspecified sporting activity</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Leisure activity (excluding sporting activity)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Working for income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types of work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Resting, sleeping, eating or engaging in other vital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specified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Unspecified activities</w:t>
                        </w:r>
                      </w:p>
                    </w:tc>
                  </w:tr>
                </w:tbl>
                <w:p/>
              </w:tc>
            </w:tr>
            <w:tr>
              <w:trPr/>
              <w:tc>
                <w:tcPr>
                  <w:tcMar>
                    <w:right w:w="29" w:type="dxa"/>
                  </w:tcMar>
                  <w:vAlign w:val="top"/>
                </w:tcPr>
                <w:p>
                  <w:pPr>
                    <w:keepNext/>
                    <w:jc w:val="center"/>
                  </w:pPr>
                  <w:r>
                    <w:t xml:space="preserve">-</w:t>
                  </w:r>
                </w:p>
              </w:tc>
              <w:tc>
                <w:tcPr>
                  <w:tcMar/>
                  <w:vAlign w:val="top"/>
                </w:tcPr>
                <w:p>
                  <w:hyperlink w:history="true" r:id="R3d2de684ba70409f">
                    <w:r>
                      <w:rPr>
                        <w:rStyle w:val="Hyperlink"/>
                      </w:rPr>
                      <w:t xml:space="preserve">External cause (admitted patient)</w:t>
                    </w:r>
                  </w:hyperlink>
                </w:p>
              </w:tc>
              <w:tc>
                <w:tcPr>
                  <w:vAlign w:val="top"/>
                </w:tcPr>
                <w:p>
                  <w:r>
                    <w:t xml:space="preserve">333853</w:t>
                  </w:r>
                </w:p>
              </w:tc>
              <w:tc>
                <w:tcPr>
                  <w:vAlign w:val="top"/>
                </w:tcPr>
                <w:p>
                  <w:r>
                    <w:t xml:space="preserve">String
[6]</w:t>
                  </w:r>
                </w:p>
              </w:tc>
              <w:tc>
                <w:tcPr>
                  <w:vAlign w:val="top"/>
                </w:tcPr>
                <w:p>
                  <w:r>
                    <w:t xml:space="preserve">ANN{.N[N]}</w:t>
                  </w:r>
                  <w:r>
                    <w:br/>
                  </w:r>
                </w:p>
                <w:p>
                  <w:r>
                    <w:t xml:space="preserve">The ICD-10-AM (5th edition) code set representing external cause of injury, poisoning or other adverse effect.</w:t>
                  </w:r>
                </w:p>
              </w:tc>
            </w:tr>
            <w:tr>
              <w:trPr/>
              <w:tc>
                <w:tcPr>
                  <w:tcMar>
                    <w:right w:w="29" w:type="dxa"/>
                  </w:tcMar>
                  <w:vAlign w:val="top"/>
                </w:tcPr>
                <w:p>
                  <w:pPr>
                    <w:keepNext/>
                    <w:jc w:val="center"/>
                  </w:pPr>
                  <w:r>
                    <w:t xml:space="preserve">-</w:t>
                  </w:r>
                </w:p>
              </w:tc>
              <w:tc>
                <w:tcPr>
                  <w:tcMar/>
                  <w:vAlign w:val="top"/>
                </w:tcPr>
                <w:p>
                  <w:hyperlink w:history="true" r:id="R09e9a23b3753462c">
                    <w:r>
                      <w:rPr>
                        <w:rStyle w:val="Hyperlink"/>
                      </w:rPr>
                      <w:t xml:space="preserve">Narrative description of injury event</w:t>
                    </w:r>
                  </w:hyperlink>
                </w:p>
              </w:tc>
              <w:tc>
                <w:tcPr>
                  <w:vAlign w:val="top"/>
                </w:tcPr>
                <w:p>
                  <w:r>
                    <w:t xml:space="preserve">268946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da0dcd836e04a87">
                    <w:r>
                      <w:rPr>
                        <w:rStyle w:val="Hyperlink"/>
                      </w:rPr>
                      <w:t xml:space="preserve">External cause—human intent</w:t>
                    </w:r>
                  </w:hyperlink>
                </w:p>
              </w:tc>
              <w:tc>
                <w:tcPr>
                  <w:vAlign w:val="top"/>
                </w:tcPr>
                <w:p>
                  <w:r>
                    <w:t xml:space="preserve">268944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Accident - injury not intended</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Intentional self-harm</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Sexual assault</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Maltreatment by parent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Maltreatment by spouse or partner</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Other and unspecified assault</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Event of undetermined intent</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Legal intervention (including police) or operations of war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Adverse effect or complications of medical and surgical care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specified intent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Intent not specified</w:t>
                        </w:r>
                      </w:p>
                    </w:tc>
                  </w:tr>
                </w:tbl>
                <w:p/>
              </w:tc>
            </w:tr>
            <w:tr>
              <w:trPr/>
              <w:tc>
                <w:tcPr>
                  <w:tcMar>
                    <w:right w:w="29" w:type="dxa"/>
                  </w:tcMar>
                  <w:vAlign w:val="top"/>
                </w:tcPr>
                <w:p>
                  <w:pPr>
                    <w:keepNext/>
                    <w:jc w:val="center"/>
                  </w:pPr>
                  <w:r>
                    <w:t xml:space="preserve">-</w:t>
                  </w:r>
                </w:p>
              </w:tc>
              <w:tc>
                <w:tcPr>
                  <w:tcMar/>
                  <w:vAlign w:val="top"/>
                </w:tcPr>
                <w:p>
                  <w:hyperlink w:history="true" r:id="R2bc7a23ca79a4192">
                    <w:r>
                      <w:rPr>
                        <w:rStyle w:val="Hyperlink"/>
                      </w:rPr>
                      <w:t xml:space="preserve">Nature of main injury (non-admitted patient)</w:t>
                    </w:r>
                  </w:hyperlink>
                </w:p>
              </w:tc>
              <w:tc>
                <w:tcPr>
                  <w:vAlign w:val="top"/>
                </w:tcPr>
                <w:p>
                  <w:r>
                    <w:t xml:space="preserve">268947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Superficial (excludes eye injury code 13)</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Open wound (excludes eye injury code 13) </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Fracture (excludes dental injury code 21) </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Dislocation (includes ruptured disc, cartilage, ligament)</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Sprain or strain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Injury to nerve (includes spinal cord; excludes intracranial injury code 20) </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Injury to blood vessel</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Injury to muscle or tendon</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Crushing injury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Traumatic amputation (includes partial amputation)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Injury to internal organ</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Burn or corrosion (excludes eye injury code 13)</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Eye injury (includes burns, excludes foreign body in external eye code 14.1 )</w:t>
                        </w:r>
                      </w:p>
                    </w:tc>
                  </w:tr>
                  <w:tr>
                    <w:trPr/>
                    <w:tc>
                      <w:tcPr>
                        <w:tcW w:w="1000" w:type="pct"/>
                        <w:tcBorders>
                          <w:top w:val="none" w:color="000000" w:sz="0"/>
                          <w:left w:val="none" w:color="000000" w:sz="0"/>
                          <w:bottom w:val="none" w:color="000000" w:sz="0"/>
                          <w:right w:val="none" w:color="000000" w:sz="0"/>
                        </w:tcBorders>
                        <w:tcMar/>
                        <w:vAlign w:val="top"/>
                      </w:tcPr>
                      <w:p>
                        <w:r>
                          <w:t xml:space="preserve">14.1 </w:t>
                        </w:r>
                      </w:p>
                    </w:tc>
                    <w:tc>
                      <w:tcPr>
                        <w:tcBorders>
                          <w:top w:val="none" w:color="000000" w:sz="0"/>
                          <w:left w:val="none" w:color="000000" w:sz="0"/>
                          <w:bottom w:val="none" w:color="000000" w:sz="0"/>
                          <w:right w:val="none" w:color="000000" w:sz="0"/>
                        </w:tcBorders>
                        <w:tcMar/>
                        <w:vAlign w:val="top"/>
                      </w:tcPr>
                      <w:p>
                        <w:r>
                          <w:t xml:space="preserve">Foreign body in external eye</w:t>
                        </w:r>
                      </w:p>
                    </w:tc>
                  </w:tr>
                  <w:tr>
                    <w:trPr/>
                    <w:tc>
                      <w:tcPr>
                        <w:tcW w:w="1000" w:type="pct"/>
                        <w:tcBorders>
                          <w:top w:val="none" w:color="000000" w:sz="0"/>
                          <w:left w:val="none" w:color="000000" w:sz="0"/>
                          <w:bottom w:val="none" w:color="000000" w:sz="0"/>
                          <w:right w:val="none" w:color="000000" w:sz="0"/>
                        </w:tcBorders>
                        <w:tcMar/>
                        <w:vAlign w:val="top"/>
                      </w:tcPr>
                      <w:p>
                        <w:r>
                          <w:t xml:space="preserve">14.2 </w:t>
                        </w:r>
                      </w:p>
                    </w:tc>
                    <w:tc>
                      <w:tcPr>
                        <w:tcBorders>
                          <w:top w:val="none" w:color="000000" w:sz="0"/>
                          <w:left w:val="none" w:color="000000" w:sz="0"/>
                          <w:bottom w:val="none" w:color="000000" w:sz="0"/>
                          <w:right w:val="none" w:color="000000" w:sz="0"/>
                        </w:tcBorders>
                        <w:tcMar/>
                        <w:vAlign w:val="top"/>
                      </w:tcPr>
                      <w:p>
                        <w:r>
                          <w:t xml:space="preserve">Foreign body in ear canal</w:t>
                        </w:r>
                      </w:p>
                    </w:tc>
                  </w:tr>
                  <w:tr>
                    <w:trPr/>
                    <w:tc>
                      <w:tcPr>
                        <w:tcW w:w="1000" w:type="pct"/>
                        <w:tcBorders>
                          <w:top w:val="none" w:color="000000" w:sz="0"/>
                          <w:left w:val="none" w:color="000000" w:sz="0"/>
                          <w:bottom w:val="none" w:color="000000" w:sz="0"/>
                          <w:right w:val="none" w:color="000000" w:sz="0"/>
                        </w:tcBorders>
                        <w:tcMar/>
                        <w:vAlign w:val="top"/>
                      </w:tcPr>
                      <w:p>
                        <w:r>
                          <w:t xml:space="preserve">14.3 </w:t>
                        </w:r>
                      </w:p>
                    </w:tc>
                    <w:tc>
                      <w:tcPr>
                        <w:tcBorders>
                          <w:top w:val="none" w:color="000000" w:sz="0"/>
                          <w:left w:val="none" w:color="000000" w:sz="0"/>
                          <w:bottom w:val="none" w:color="000000" w:sz="0"/>
                          <w:right w:val="none" w:color="000000" w:sz="0"/>
                        </w:tcBorders>
                        <w:tcMar/>
                        <w:vAlign w:val="top"/>
                      </w:tcPr>
                      <w:p>
                        <w:r>
                          <w:t xml:space="preserve">Foreign body in nose</w:t>
                        </w:r>
                      </w:p>
                    </w:tc>
                  </w:tr>
                  <w:tr>
                    <w:trPr/>
                    <w:tc>
                      <w:tcPr>
                        <w:tcW w:w="1000" w:type="pct"/>
                        <w:tcBorders>
                          <w:top w:val="none" w:color="000000" w:sz="0"/>
                          <w:left w:val="none" w:color="000000" w:sz="0"/>
                          <w:bottom w:val="none" w:color="000000" w:sz="0"/>
                          <w:right w:val="none" w:color="000000" w:sz="0"/>
                        </w:tcBorders>
                        <w:tcMar/>
                        <w:vAlign w:val="top"/>
                      </w:tcPr>
                      <w:p>
                        <w:r>
                          <w:t xml:space="preserve">14.4 </w:t>
                        </w:r>
                      </w:p>
                    </w:tc>
                    <w:tc>
                      <w:tcPr>
                        <w:tcBorders>
                          <w:top w:val="none" w:color="000000" w:sz="0"/>
                          <w:left w:val="none" w:color="000000" w:sz="0"/>
                          <w:bottom w:val="none" w:color="000000" w:sz="0"/>
                          <w:right w:val="none" w:color="000000" w:sz="0"/>
                        </w:tcBorders>
                        <w:tcMar/>
                        <w:vAlign w:val="top"/>
                      </w:tcPr>
                      <w:p>
                        <w:r>
                          <w:t xml:space="preserve">Foreign body in respiratory tract (excludes foreign body in nose code 14.3)</w:t>
                        </w:r>
                      </w:p>
                    </w:tc>
                  </w:tr>
                  <w:tr>
                    <w:trPr/>
                    <w:tc>
                      <w:tcPr>
                        <w:tcW w:w="1000" w:type="pct"/>
                        <w:tcBorders>
                          <w:top w:val="none" w:color="000000" w:sz="0"/>
                          <w:left w:val="none" w:color="000000" w:sz="0"/>
                          <w:bottom w:val="none" w:color="000000" w:sz="0"/>
                          <w:right w:val="none" w:color="000000" w:sz="0"/>
                        </w:tcBorders>
                        <w:tcMar/>
                        <w:vAlign w:val="top"/>
                      </w:tcPr>
                      <w:p>
                        <w:r>
                          <w:t xml:space="preserve">14.5 </w:t>
                        </w:r>
                      </w:p>
                    </w:tc>
                    <w:tc>
                      <w:tcPr>
                        <w:tcBorders>
                          <w:top w:val="none" w:color="000000" w:sz="0"/>
                          <w:left w:val="none" w:color="000000" w:sz="0"/>
                          <w:bottom w:val="none" w:color="000000" w:sz="0"/>
                          <w:right w:val="none" w:color="000000" w:sz="0"/>
                        </w:tcBorders>
                        <w:tcMar/>
                        <w:vAlign w:val="top"/>
                      </w:tcPr>
                      <w:p>
                        <w:r>
                          <w:t xml:space="preserve">Foreign body in alimentary tract</w:t>
                        </w:r>
                      </w:p>
                    </w:tc>
                  </w:tr>
                  <w:tr>
                    <w:trPr/>
                    <w:tc>
                      <w:tcPr>
                        <w:tcW w:w="1000" w:type="pct"/>
                        <w:tcBorders>
                          <w:top w:val="none" w:color="000000" w:sz="0"/>
                          <w:left w:val="none" w:color="000000" w:sz="0"/>
                          <w:bottom w:val="none" w:color="000000" w:sz="0"/>
                          <w:right w:val="none" w:color="000000" w:sz="0"/>
                        </w:tcBorders>
                        <w:tcMar/>
                        <w:vAlign w:val="top"/>
                      </w:tcPr>
                      <w:p>
                        <w:r>
                          <w:t xml:space="preserve">14.6 </w:t>
                        </w:r>
                      </w:p>
                    </w:tc>
                    <w:tc>
                      <w:tcPr>
                        <w:tcBorders>
                          <w:top w:val="none" w:color="000000" w:sz="0"/>
                          <w:left w:val="none" w:color="000000" w:sz="0"/>
                          <w:bottom w:val="none" w:color="000000" w:sz="0"/>
                          <w:right w:val="none" w:color="000000" w:sz="0"/>
                        </w:tcBorders>
                        <w:tcMar/>
                        <w:vAlign w:val="top"/>
                      </w:tcPr>
                      <w:p>
                        <w:r>
                          <w:t xml:space="preserve">Foreign body in genitourinary tract</w:t>
                        </w:r>
                      </w:p>
                    </w:tc>
                  </w:tr>
                  <w:tr>
                    <w:trPr/>
                    <w:tc>
                      <w:tcPr>
                        <w:tcW w:w="1000" w:type="pct"/>
                        <w:tcBorders>
                          <w:top w:val="none" w:color="000000" w:sz="0"/>
                          <w:left w:val="none" w:color="000000" w:sz="0"/>
                          <w:bottom w:val="none" w:color="000000" w:sz="0"/>
                          <w:right w:val="none" w:color="000000" w:sz="0"/>
                        </w:tcBorders>
                        <w:tcMar/>
                        <w:vAlign w:val="top"/>
                      </w:tcPr>
                      <w:p>
                        <w:r>
                          <w:t xml:space="preserve">14.7 </w:t>
                        </w:r>
                      </w:p>
                    </w:tc>
                    <w:tc>
                      <w:tcPr>
                        <w:tcBorders>
                          <w:top w:val="none" w:color="000000" w:sz="0"/>
                          <w:left w:val="none" w:color="000000" w:sz="0"/>
                          <w:bottom w:val="none" w:color="000000" w:sz="0"/>
                          <w:right w:val="none" w:color="000000" w:sz="0"/>
                        </w:tcBorders>
                        <w:tcMar/>
                        <w:vAlign w:val="top"/>
                      </w:tcPr>
                      <w:p>
                        <w:r>
                          <w:t xml:space="preserve">Foreign body in soft tissue</w:t>
                        </w:r>
                      </w:p>
                    </w:tc>
                  </w:tr>
                  <w:tr>
                    <w:trPr/>
                    <w:tc>
                      <w:tcPr>
                        <w:tcW w:w="1000" w:type="pct"/>
                        <w:tcBorders>
                          <w:top w:val="none" w:color="000000" w:sz="0"/>
                          <w:left w:val="none" w:color="000000" w:sz="0"/>
                          <w:bottom w:val="none" w:color="000000" w:sz="0"/>
                          <w:right w:val="none" w:color="000000" w:sz="0"/>
                        </w:tcBorders>
                        <w:tcMar/>
                        <w:vAlign w:val="top"/>
                      </w:tcPr>
                      <w:p>
                        <w:r>
                          <w:t xml:space="preserve">14.9 </w:t>
                        </w:r>
                      </w:p>
                    </w:tc>
                    <w:tc>
                      <w:tcPr>
                        <w:tcBorders>
                          <w:top w:val="none" w:color="000000" w:sz="0"/>
                          <w:left w:val="none" w:color="000000" w:sz="0"/>
                          <w:bottom w:val="none" w:color="000000" w:sz="0"/>
                          <w:right w:val="none" w:color="000000" w:sz="0"/>
                        </w:tcBorders>
                        <w:tcMar/>
                        <w:vAlign w:val="top"/>
                      </w:tcPr>
                      <w:p>
                        <w:r>
                          <w:t xml:space="preserve">Foreign body, other/unspecified</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Intracranial injury (includes concussion)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Dental injury (includes fractured tooth)</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Drowning, immersion</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Asphyxia or other threat to breathing (excludes drowning immersion code 22)</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Electrical injury</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Poisoning, toxic effect (excludes effect of venom, or any insect bite code 26)</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Effect of venom, or any insect bite</w:t>
                        </w:r>
                      </w:p>
                    </w:tc>
                  </w:tr>
                  <w:tr>
                    <w:trPr/>
                    <w:tc>
                      <w:tcPr>
                        <w:tcW w:w="1000" w:type="pct"/>
                        <w:tcBorders>
                          <w:top w:val="none" w:color="000000" w:sz="0"/>
                          <w:left w:val="none" w:color="000000" w:sz="0"/>
                          <w:bottom w:val="none" w:color="000000" w:sz="0"/>
                          <w:right w:val="none" w:color="000000" w:sz="0"/>
                        </w:tcBorders>
                        <w:tcMar/>
                        <w:vAlign w:val="top"/>
                      </w:tcPr>
                      <w:p>
                        <w:r>
                          <w:t xml:space="preserve">27 </w:t>
                        </w:r>
                      </w:p>
                    </w:tc>
                    <w:tc>
                      <w:tcPr>
                        <w:tcBorders>
                          <w:top w:val="none" w:color="000000" w:sz="0"/>
                          <w:left w:val="none" w:color="000000" w:sz="0"/>
                          <w:bottom w:val="none" w:color="000000" w:sz="0"/>
                          <w:right w:val="none" w:color="000000" w:sz="0"/>
                        </w:tcBorders>
                        <w:tcMar/>
                        <w:vAlign w:val="top"/>
                      </w:tcPr>
                      <w:p>
                        <w:r>
                          <w:t xml:space="preserve">Other specified nature of injury</w:t>
                        </w:r>
                      </w:p>
                    </w:tc>
                  </w:tr>
                  <w:tr>
                    <w:trPr/>
                    <w:tc>
                      <w:tcPr>
                        <w:tcW w:w="1000" w:type="pct"/>
                        <w:tcBorders>
                          <w:top w:val="none" w:color="000000" w:sz="0"/>
                          <w:left w:val="none" w:color="000000" w:sz="0"/>
                          <w:bottom w:val="none" w:color="000000" w:sz="0"/>
                          <w:right w:val="none" w:color="000000" w:sz="0"/>
                        </w:tcBorders>
                        <w:tcMar/>
                        <w:vAlign w:val="top"/>
                      </w:tcPr>
                      <w:p>
                        <w:r>
                          <w:t xml:space="preserve">28 </w:t>
                        </w:r>
                      </w:p>
                    </w:tc>
                    <w:tc>
                      <w:tcPr>
                        <w:tcBorders>
                          <w:top w:val="none" w:color="000000" w:sz="0"/>
                          <w:left w:val="none" w:color="000000" w:sz="0"/>
                          <w:bottom w:val="none" w:color="000000" w:sz="0"/>
                          <w:right w:val="none" w:color="000000" w:sz="0"/>
                        </w:tcBorders>
                        <w:tcMar/>
                        <w:vAlign w:val="top"/>
                      </w:tcPr>
                      <w:p>
                        <w:r>
                          <w:t xml:space="preserve">Injury of unspecified nature</w:t>
                        </w:r>
                      </w:p>
                    </w:tc>
                  </w:tr>
                  <w:tr>
                    <w:trPr/>
                    <w:tc>
                      <w:tcPr>
                        <w:tcW w:w="1000" w:type="pct"/>
                        <w:tcBorders>
                          <w:top w:val="none" w:color="000000" w:sz="0"/>
                          <w:left w:val="none" w:color="000000" w:sz="0"/>
                          <w:bottom w:val="none" w:color="000000" w:sz="0"/>
                          <w:right w:val="none" w:color="000000" w:sz="0"/>
                        </w:tcBorders>
                        <w:tcMar/>
                        <w:vAlign w:val="top"/>
                      </w:tcPr>
                      <w:p>
                        <w:r>
                          <w:t xml:space="preserve">29 </w:t>
                        </w:r>
                      </w:p>
                    </w:tc>
                    <w:tc>
                      <w:tcPr>
                        <w:tcBorders>
                          <w:top w:val="none" w:color="000000" w:sz="0"/>
                          <w:left w:val="none" w:color="000000" w:sz="0"/>
                          <w:bottom w:val="none" w:color="000000" w:sz="0"/>
                          <w:right w:val="none" w:color="000000" w:sz="0"/>
                        </w:tcBorders>
                        <w:tcMar/>
                        <w:vAlign w:val="top"/>
                      </w:tcPr>
                      <w:p>
                        <w:r>
                          <w:t xml:space="preserve">Multiple injuries of more than one 'nature'</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No injury detected</w:t>
                        </w:r>
                      </w:p>
                    </w:tc>
                  </w:tr>
                </w:tbl>
                <w:p/>
              </w:tc>
            </w:tr>
            <w:tr>
              <w:trPr/>
              <w:tc>
                <w:tcPr>
                  <w:tcMar>
                    <w:right w:w="29" w:type="dxa"/>
                  </w:tcMar>
                  <w:vAlign w:val="top"/>
                </w:tcPr>
                <w:p>
                  <w:pPr>
                    <w:keepNext/>
                    <w:jc w:val="center"/>
                  </w:pPr>
                  <w:r>
                    <w:t xml:space="preserve">-</w:t>
                  </w:r>
                </w:p>
              </w:tc>
              <w:tc>
                <w:tcPr>
                  <w:tcMar/>
                  <w:vAlign w:val="top"/>
                </w:tcPr>
                <w:p>
                  <w:hyperlink w:history="true" r:id="R7d1f71936bc24bf9">
                    <w:r>
                      <w:rPr>
                        <w:rStyle w:val="Hyperlink"/>
                      </w:rPr>
                      <w:t xml:space="preserve">Place of occurrence of external cause of injury (ICD-10-AM)</w:t>
                    </w:r>
                  </w:hyperlink>
                </w:p>
              </w:tc>
              <w:tc>
                <w:tcPr>
                  <w:vAlign w:val="top"/>
                </w:tcPr>
                <w:p>
                  <w:r>
                    <w:t xml:space="preserve">333874</w:t>
                  </w:r>
                </w:p>
              </w:tc>
              <w:tc>
                <w:tcPr>
                  <w:vAlign w:val="top"/>
                </w:tcPr>
                <w:p>
                  <w:r>
                    <w:t xml:space="preserve">String
[6]</w:t>
                  </w:r>
                </w:p>
              </w:tc>
              <w:tc>
                <w:tcPr>
                  <w:vAlign w:val="top"/>
                </w:tcPr>
                <w:p>
                  <w:r>
                    <w:t xml:space="preserve">ANN{.N[N]}</w:t>
                  </w:r>
                  <w:r>
                    <w:br/>
                  </w:r>
                </w:p>
                <w:p>
                  <w:r>
                    <w:t xml:space="preserve">The ICD-10-AM (5th edition) code set representing the place where the external cause of injury, poisoning or other adverse effect occurred.</w:t>
                  </w:r>
                </w:p>
              </w:tc>
            </w:tr>
            <w:tr>
              <w:trPr/>
              <w:tc>
                <w:tcPr>
                  <w:tcMar>
                    <w:right w:w="29" w:type="dxa"/>
                  </w:tcMar>
                  <w:vAlign w:val="top"/>
                </w:tcPr>
                <w:p>
                  <w:pPr>
                    <w:keepNext/>
                    <w:jc w:val="center"/>
                  </w:pPr>
                  <w:r>
                    <w:t xml:space="preserve">-</w:t>
                  </w:r>
                </w:p>
              </w:tc>
              <w:tc>
                <w:tcPr>
                  <w:tcMar/>
                  <w:vAlign w:val="top"/>
                </w:tcPr>
                <w:p>
                  <w:hyperlink w:history="true" r:id="R4b5423a62471455b">
                    <w:r>
                      <w:rPr>
                        <w:rStyle w:val="Hyperlink"/>
                      </w:rPr>
                      <w:t xml:space="preserve">Place of occurrence of external cause of injury (non-admitted patient)</w:t>
                    </w:r>
                  </w:hyperlink>
                </w:p>
              </w:tc>
              <w:tc>
                <w:tcPr>
                  <w:vAlign w:val="top"/>
                </w:tcPr>
                <w:p>
                  <w:r>
                    <w:t xml:space="preserve">268949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Residential Institution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School, other institution and public administration area</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School</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Health service area</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Building used by general public or public group</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Sports and athletics area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Street and highway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Trade and service area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Industrial and construction area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Farm</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specified places</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Unspecified place</w:t>
                        </w:r>
                      </w:p>
                    </w:tc>
                  </w:tr>
                </w:tbl>
                <w:p/>
              </w:tc>
            </w:tr>
            <w:tr>
              <w:trPr/>
              <w:tc>
                <w:tcPr>
                  <w:tcMar>
                    <w:right w:w="29" w:type="dxa"/>
                  </w:tcMar>
                  <w:vAlign w:val="top"/>
                </w:tcPr>
                <w:p>
                  <w:pPr>
                    <w:keepNext/>
                    <w:jc w:val="center"/>
                  </w:pPr>
                  <w:r>
                    <w:t xml:space="preserve">-</w:t>
                  </w:r>
                </w:p>
              </w:tc>
              <w:tc>
                <w:tcPr>
                  <w:tcMar/>
                  <w:vAlign w:val="top"/>
                </w:tcPr>
                <w:p>
                  <w:hyperlink w:history="true" r:id="R4721e379670b4c96">
                    <w:r>
                      <w:rPr>
                        <w:rStyle w:val="Hyperlink"/>
                      </w:rPr>
                      <w:t xml:space="preserve">Bodily location of main injury</w:t>
                    </w:r>
                  </w:hyperlink>
                </w:p>
              </w:tc>
              <w:tc>
                <w:tcPr>
                  <w:vAlign w:val="top"/>
                </w:tcPr>
                <w:p>
                  <w:r>
                    <w:t xml:space="preserve">268943</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Head (excludes face)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Face (excludes eye)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Neck</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Thorax</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Abdomen</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Lower back (includes loin)</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Pelvis (includes perineum, anogenital area and buttocks)</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Shoulder</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Upper arm</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Forearm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Wrist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Hand (include fingers)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Hip</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Thigh</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Knee</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Lower leg</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Ankle</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Foot (include toes)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Unspecified bodily location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Multiple injuries (involving more than one bodily location)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Bodily location not required</w:t>
                        </w:r>
                      </w:p>
                    </w:tc>
                  </w:tr>
                </w:tbl>
                <w:p/>
              </w:tc>
            </w:tr>
          </w:tbl>
          <w:p/>
        </w:tc>
      </w:tr>
    </w:tbl>
    <w:p>
      <w:r>
        <w:br/>
      </w:r>
    </w:p>
    <w:sectPr>
      <w:footerReference xmlns:r="http://schemas.openxmlformats.org/officeDocument/2006/relationships" w:type="default" r:id="Rba5ee816bd20448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339736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38ec94b75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ee816bd204482" /><Relationship Type="http://schemas.openxmlformats.org/officeDocument/2006/relationships/header" Target="/word/header1.xml" Id="R4ceb710b8c0348ee" /><Relationship Type="http://schemas.openxmlformats.org/officeDocument/2006/relationships/settings" Target="/word/settings.xml" Id="R1292f5f454a24944" /><Relationship Type="http://schemas.openxmlformats.org/officeDocument/2006/relationships/styles" Target="/word/styles.xml" Id="Raf775f445dd14144" /><Relationship Type="http://schemas.openxmlformats.org/officeDocument/2006/relationships/hyperlink" Target="https://meteor.aihw.gov.au/content/333849" TargetMode="External" Id="R7d6f83a1245e4634" /><Relationship Type="http://schemas.openxmlformats.org/officeDocument/2006/relationships/hyperlink" Target="https://meteor.aihw.gov.au/content/268942" TargetMode="External" Id="R88b85948c080417b" /><Relationship Type="http://schemas.openxmlformats.org/officeDocument/2006/relationships/hyperlink" Target="https://meteor.aihw.gov.au/content/333853" TargetMode="External" Id="R3d2de684ba70409f" /><Relationship Type="http://schemas.openxmlformats.org/officeDocument/2006/relationships/hyperlink" Target="https://meteor.aihw.gov.au/content/268946" TargetMode="External" Id="R09e9a23b3753462c" /><Relationship Type="http://schemas.openxmlformats.org/officeDocument/2006/relationships/hyperlink" Target="https://meteor.aihw.gov.au/content/268944" TargetMode="External" Id="R2da0dcd836e04a87" /><Relationship Type="http://schemas.openxmlformats.org/officeDocument/2006/relationships/hyperlink" Target="https://meteor.aihw.gov.au/content/268947" TargetMode="External" Id="R2bc7a23ca79a4192" /><Relationship Type="http://schemas.openxmlformats.org/officeDocument/2006/relationships/hyperlink" Target="https://meteor.aihw.gov.au/content/333874" TargetMode="External" Id="R7d1f71936bc24bf9" /><Relationship Type="http://schemas.openxmlformats.org/officeDocument/2006/relationships/hyperlink" Target="https://meteor.aihw.gov.au/content/268949" TargetMode="External" Id="R4b5423a62471455b" /><Relationship Type="http://schemas.openxmlformats.org/officeDocument/2006/relationships/hyperlink" Target="https://meteor.aihw.gov.au/content/268943" TargetMode="External" Id="R4721e379670b4c96" /></Relationships>
</file>

<file path=word/_rels/header1.xml.rels>&#65279;<?xml version="1.0" encoding="utf-8"?><Relationships xmlns="http://schemas.openxmlformats.org/package/2006/relationships"><Relationship Type="http://schemas.openxmlformats.org/officeDocument/2006/relationships/image" Target="/media/image.png" Id="R69d38ec94b754658" /></Relationships>
</file>