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0b42db2e14580" /></Relationships>
</file>

<file path=word/document.xml><?xml version="1.0" encoding="utf-8"?>
<w:document xmlns:r="http://schemas.openxmlformats.org/officeDocument/2006/relationships" xmlns:w="http://schemas.openxmlformats.org/wordprocessingml/2006/main">
  <w:body>
    <w:p>
      <w:pPr>
        <w:pStyle w:val="Title"/>
      </w:pPr>
      <w:r>
        <w:t>Type of support services for accompanying child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support services for accompanying child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1da0dbf2a4185">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a child accompanying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6b7d2bf5ec4777">
              <w:r>
                <w:rPr>
                  <w:rStyle w:val="Hyperlink"/>
                </w:rPr>
                <w:t xml:space="preserve">Homelessness activity type code N[N]</w:t>
              </w:r>
            </w:hyperlink>
          </w:p>
          <w:p>
            <w:pPr>
              <w:pStyle w:val="registration-status"/>
              <w:spacing w:before="0" w:after="0"/>
            </w:pPr>
            <w:hyperlink w:history="true" r:id="R516308bad59e4ba0">
              <w:r>
                <w:rPr>
                  <w:rStyle w:val="Hyperlink"/>
                  <w:color w:val="244061"/>
                </w:rPr>
                <w:t xml:space="preserve">Homelessness</w:t>
              </w:r>
            </w:hyperlink>
            <w:r>
              <w:rPr>
                <w:rStyle w:val="row-content"/>
                <w:color w:val="244061"/>
              </w:rPr>
              <w:t xml:space="preserve">, Superseded 10/08/2018</w:t>
            </w:r>
          </w:p>
          <w:p>
            <w:r>
              <w:br/>
            </w:r>
            <w:r>
              <w:rPr>
                <w:rStyle w:val="row-content"/>
              </w:rPr>
              <w:t xml:space="preserve">Has been superseded by </w:t>
            </w:r>
            <w:hyperlink w:history="true" r:id="R52612f99f2c44b8f">
              <w:r>
                <w:rPr>
                  <w:rStyle w:val="Hyperlink"/>
                </w:rPr>
                <w:t xml:space="preserve">Homelessness activity type code N[N]</w:t>
              </w:r>
            </w:hyperlink>
          </w:p>
          <w:p>
            <w:pPr>
              <w:pStyle w:val="registration-status"/>
              <w:spacing w:before="0" w:after="0"/>
            </w:pPr>
            <w:hyperlink w:history="true" r:id="R2ad4316206774a7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9023f21d8b844a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e635e12f114496">
              <w:r>
                <w:rPr>
                  <w:rStyle w:val="Hyperlink"/>
                </w:rPr>
                <w:t xml:space="preserve">Client—service activity type needed, SAAP accompanying child code N[N]</w:t>
              </w:r>
            </w:hyperlink>
          </w:p>
          <w:p>
            <w:pPr>
              <w:pStyle w:val="registration-status"/>
              <w:spacing w:before="0" w:after="0"/>
            </w:pPr>
            <w:hyperlink w:history="true" r:id="R35523b266f624265">
              <w:r>
                <w:rPr>
                  <w:rStyle w:val="Hyperlink"/>
                  <w:color w:val="244061"/>
                </w:rPr>
                <w:t xml:space="preserve">Community Services (retired)</w:t>
              </w:r>
            </w:hyperlink>
            <w:r>
              <w:rPr>
                <w:rStyle w:val="row-content"/>
                <w:color w:val="244061"/>
              </w:rPr>
              <w:t xml:space="preserve">, Superseded 01/07/2011</w:t>
            </w:r>
          </w:p>
          <w:p>
            <w:r>
              <w:br/>
            </w:r>
            <w:hyperlink w:history="true" r:id="R624a2a40f95b481f">
              <w:r>
                <w:rPr>
                  <w:rStyle w:val="Hyperlink"/>
                </w:rPr>
                <w:t xml:space="preserve">Client—service activity type provided, SAAP accompanying child code N[N]</w:t>
              </w:r>
            </w:hyperlink>
          </w:p>
          <w:p>
            <w:pPr>
              <w:pStyle w:val="registration-status"/>
              <w:spacing w:before="0" w:after="0"/>
            </w:pPr>
            <w:hyperlink w:history="true" r:id="Ree896ed527504817">
              <w:r>
                <w:rPr>
                  <w:rStyle w:val="Hyperlink"/>
                  <w:color w:val="244061"/>
                </w:rPr>
                <w:t xml:space="preserve">Community Services (retired)</w:t>
              </w:r>
            </w:hyperlink>
            <w:r>
              <w:rPr>
                <w:rStyle w:val="row-content"/>
                <w:color w:val="244061"/>
              </w:rPr>
              <w:t xml:space="preserve">, Superseded 01/07/2011</w:t>
            </w:r>
          </w:p>
          <w:p>
            <w:r>
              <w:br/>
            </w:r>
            <w:hyperlink w:history="true" r:id="Rbbc9f6577c5c4f2b">
              <w:r>
                <w:rPr>
                  <w:rStyle w:val="Hyperlink"/>
                </w:rPr>
                <w:t xml:space="preserve">Client—service activity type referral arranged, SAAP accompanying child code N[N]</w:t>
              </w:r>
            </w:hyperlink>
          </w:p>
          <w:p>
            <w:pPr>
              <w:pStyle w:val="registration-status"/>
              <w:spacing w:before="0" w:after="0"/>
            </w:pPr>
            <w:hyperlink w:history="true" r:id="Ra85b9874ebd446aa">
              <w:r>
                <w:rPr>
                  <w:rStyle w:val="Hyperlink"/>
                  <w:color w:val="244061"/>
                </w:rPr>
                <w:t xml:space="preserve">Community Services (retired)</w:t>
              </w:r>
            </w:hyperlink>
            <w:r>
              <w:rPr>
                <w:rStyle w:val="row-content"/>
                <w:color w:val="244061"/>
              </w:rPr>
              <w:t xml:space="preserve">, Superseded 01/07/2011</w:t>
            </w:r>
          </w:p>
          <w:p>
            <w:r>
              <w:br/>
            </w:r>
          </w:p>
        </w:tc>
      </w:tr>
    </w:tbl>
    <w:p>
      <w:r>
        <w:br/>
      </w:r>
    </w:p>
    <w:sectPr>
      <w:footerReference xmlns:r="http://schemas.openxmlformats.org/officeDocument/2006/relationships" w:type="default" r:id="R6208d1cabf87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338381</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7bec0dd69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8d1cabf874dc4" /><Relationship Type="http://schemas.openxmlformats.org/officeDocument/2006/relationships/header" Target="/word/header1.xml" Id="Ref6b4f1e41ab4f58" /><Relationship Type="http://schemas.openxmlformats.org/officeDocument/2006/relationships/settings" Target="/word/settings.xml" Id="Rbc6ccea20dd64dd2" /><Relationship Type="http://schemas.openxmlformats.org/officeDocument/2006/relationships/styles" Target="/word/styles.xml" Id="R7017a3ff63e946c3" /><Relationship Type="http://schemas.openxmlformats.org/officeDocument/2006/relationships/hyperlink" Target="https://meteor.aihw.gov.au/RegistrationAuthority/1" TargetMode="External" Id="R59e1da0dbf2a4185" /><Relationship Type="http://schemas.openxmlformats.org/officeDocument/2006/relationships/hyperlink" Target="https://meteor.aihw.gov.au/content/656256" TargetMode="External" Id="Rbe6b7d2bf5ec4777" /><Relationship Type="http://schemas.openxmlformats.org/officeDocument/2006/relationships/hyperlink" Target="https://meteor.aihw.gov.au/RegistrationAuthority/14" TargetMode="External" Id="R516308bad59e4ba0" /><Relationship Type="http://schemas.openxmlformats.org/officeDocument/2006/relationships/hyperlink" Target="https://meteor.aihw.gov.au/content/399422" TargetMode="External" Id="R52612f99f2c44b8f" /><Relationship Type="http://schemas.openxmlformats.org/officeDocument/2006/relationships/hyperlink" Target="https://meteor.aihw.gov.au/RegistrationAuthority/14" TargetMode="External" Id="R2ad4316206774a71" /><Relationship Type="http://schemas.openxmlformats.org/officeDocument/2006/relationships/hyperlink" Target="https://meteor.aihw.gov.au/RegistrationAuthority/11" TargetMode="External" Id="Rc9023f21d8b844a5" /><Relationship Type="http://schemas.openxmlformats.org/officeDocument/2006/relationships/hyperlink" Target="https://meteor.aihw.gov.au/content/352306" TargetMode="External" Id="Rcee635e12f114496" /><Relationship Type="http://schemas.openxmlformats.org/officeDocument/2006/relationships/hyperlink" Target="https://meteor.aihw.gov.au/RegistrationAuthority/1" TargetMode="External" Id="R35523b266f624265" /><Relationship Type="http://schemas.openxmlformats.org/officeDocument/2006/relationships/hyperlink" Target="https://meteor.aihw.gov.au/content/352309" TargetMode="External" Id="R624a2a40f95b481f" /><Relationship Type="http://schemas.openxmlformats.org/officeDocument/2006/relationships/hyperlink" Target="https://meteor.aihw.gov.au/RegistrationAuthority/1" TargetMode="External" Id="Ree896ed527504817" /><Relationship Type="http://schemas.openxmlformats.org/officeDocument/2006/relationships/hyperlink" Target="https://meteor.aihw.gov.au/content/352311" TargetMode="External" Id="Rbbc9f6577c5c4f2b" /><Relationship Type="http://schemas.openxmlformats.org/officeDocument/2006/relationships/hyperlink" Target="https://meteor.aihw.gov.au/RegistrationAuthority/1" TargetMode="External" Id="Ra85b9874ebd446aa" /></Relationships>
</file>

<file path=word/_rels/header1.xml.rels>&#65279;<?xml version="1.0" encoding="utf-8"?><Relationships xmlns="http://schemas.openxmlformats.org/package/2006/relationships"><Relationship Type="http://schemas.openxmlformats.org/officeDocument/2006/relationships/image" Target="/media/image.png" Id="R4007bec0dd694a36" /></Relationships>
</file>