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99699918b246af" /></Relationships>
</file>

<file path=word/document.xml><?xml version="1.0" encoding="utf-8"?>
<w:document xmlns:r="http://schemas.openxmlformats.org/officeDocument/2006/relationships" xmlns:w="http://schemas.openxmlformats.org/wordprocessingml/2006/main">
  <w:body>
    <w:p>
      <w:pPr>
        <w:pStyle w:val="Title"/>
      </w:pPr>
      <w:r>
        <w:t>Person—disability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c3be29f9e4b38">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group that most clearly expresses the experience of disability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groupings constitute a broad categorisation of disabilities in terms of the underlying health condition, impairment, activity limitations, participation restrictions, environmental factors and support needs.</w:t>
            </w:r>
          </w:p>
          <w:p>
            <w:pPr/>
            <w:r>
              <w:rPr>
                <w:rStyle w:val="row-content-rich-text"/>
              </w:rPr>
              <w:t xml:space="preserve">Disability is the umbrella term for any or all of: an impairment of </w:t>
            </w:r>
            <w:hyperlink w:tooltip="Body structures are anatomical parts of the body such as organs, limbs and their components." w:history="true" r:id="R9d2c57479b134051">
              <w:r>
                <w:rPr>
                  <w:rStyle w:val="Hyperlink"/>
                  <w:b/>
                </w:rPr>
                <w:t xml:space="preserve">body structure </w:t>
              </w:r>
            </w:hyperlink>
            <w:r>
              <w:rPr>
                <w:rStyle w:val="row-content-rich-text"/>
              </w:rPr>
              <w:t xml:space="preserve">or function, a limitation in </w:t>
            </w:r>
            <w:hyperlink w:tooltip="In the context of health, an activity is the execution of a task or action by an individual. " w:history="true" r:id="R2a23ac6887c644a6">
              <w:r>
                <w:rPr>
                  <w:rStyle w:val="Hyperlink"/>
                  <w:b/>
                </w:rPr>
                <w:t xml:space="preserve">activities</w:t>
              </w:r>
            </w:hyperlink>
            <w:r>
              <w:rPr>
                <w:rStyle w:val="row-content-rich-text"/>
              </w:rPr>
              <w:t xml:space="preserve">, or a restriction in </w:t>
            </w:r>
            <w:hyperlink w:tooltip="In the context of health, participation is involvement in a life situation. " w:history="true" r:id="R1ed5da8c7fc74f0c">
              <w:r>
                <w:rPr>
                  <w:rStyle w:val="Hyperlink"/>
                  <w:b/>
                </w:rPr>
                <w:t xml:space="preserve">participation</w:t>
              </w:r>
            </w:hyperlink>
            <w:r>
              <w:rPr>
                <w:rStyle w:val="row-content-rich-text"/>
              </w:rPr>
              <w:t xml:space="preserve">. Disability is defined in terms of three components: 'Body functions and structures', </w:t>
            </w:r>
            <w:hyperlink w:tooltip="The help that a person receives or needs from another person, because of their difficulty in performing an activity or in participating in an area of life." w:history="true" r:id="R175999c387be4de3">
              <w:r>
                <w:rPr>
                  <w:rStyle w:val="Hyperlink"/>
                  <w:b/>
                </w:rPr>
                <w:t xml:space="preserve">'Activity and Participation'</w:t>
              </w:r>
            </w:hyperlink>
            <w:r>
              <w:rPr>
                <w:rStyle w:val="row-content-rich-text"/>
              </w:rPr>
              <w:t xml:space="preserve"> and </w:t>
            </w:r>
            <w:hyperlink w:tooltip="Environmental factors make up the physical, social and attitudinal environment in which people live and conduct their lives." w:history="true" r:id="Rd7c286da42e443c0">
              <w:r>
                <w:rPr>
                  <w:rStyle w:val="Hyperlink"/>
                  <w:b/>
                </w:rPr>
                <w:t xml:space="preserve">'Environmental factors'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e87ecfcc054fb1">
              <w:r>
                <w:rPr>
                  <w:rStyle w:val="Hyperlink"/>
                </w:rPr>
                <w:t xml:space="preserve">Person—disability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499c91c02b45d2">
              <w:r>
                <w:rPr>
                  <w:rStyle w:val="Hyperlink"/>
                </w:rPr>
                <w:t xml:space="preserve">Disability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Sensory/speech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Physical/diverse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Intellectual/learning</w:t>
            </w:r>
          </w:p>
          <w:p>
            <w:pPr>
              <w:spacing w:after="160"/>
            </w:pPr>
            <w:r>
              <w:rPr>
                <w:rStyle w:val="row-content-rich-text"/>
              </w:rPr>
              <w:t xml:space="preserve">Intellectual/learning disability is associated with impairment of intellectual functions with limitations in a range of daily activities and restrictions in participation in a range of life areas. Supports may be needed throughout life; the level of support tends to be consistent over a period of time but may change in association with changes in life circumstances.</w:t>
            </w:r>
          </w:p>
          <w:p>
            <w:pPr>
              <w:spacing w:after="160"/>
            </w:pPr>
            <w:r>
              <w:rPr>
                <w:rStyle w:val="row-content-rich-text"/>
              </w:rPr>
              <w:t xml:space="preserve">This grouping includes:</w:t>
            </w:r>
          </w:p>
          <w:p>
            <w:pPr>
              <w:spacing w:after="160"/>
            </w:pPr>
            <w:r>
              <w:rPr>
                <w:rStyle w:val="row-content-rich-text"/>
              </w:rPr>
              <w:t xml:space="preserve">Developmental delay is applicable to children aged 0-5 only. Conditions appearing in the early developmental period, with no specific diagnosis.</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 syndrome, tuberous sclerosis, cri-du-chat syndrome etc.</w:t>
            </w:r>
          </w:p>
          <w:p>
            <w:pPr>
              <w:spacing w:after="160"/>
            </w:pPr>
            <w:r>
              <w:rPr>
                <w:rStyle w:val="row-content-rich-text"/>
              </w:rPr>
              <w:t xml:space="preserve">Specific learning/Attention Deficit Disorder (other than intellectual). 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Autism (including Asperger syndrome and Pervasive Developmental Delay) is used to describe pervasive developmental disorder involving disturbances in cognition, interpersonal communication, social interactions and behaviour (in particular obsessional, ritualistic, stereotyped and rigid behaviours).</w:t>
            </w:r>
          </w:p>
          <w:p>
            <w:pPr>
              <w:spacing w:after="160"/>
            </w:pPr>
            <w:r>
              <w:rPr>
                <w:rStyle w:val="row-content-rich-text"/>
              </w:rPr>
              <w:t xml:space="preserve">Code 2    Psychiatric</w:t>
            </w:r>
          </w:p>
          <w:p>
            <w:pPr>
              <w:spacing w:after="160"/>
            </w:pPr>
            <w:r>
              <w:rPr>
                <w:rStyle w:val="row-content-rich-text"/>
              </w:rPr>
              <w:t xml:space="preserve">Psychiatric disability is associated with clinically recognisable symptoms and behaviour patterns frequently associated with distress that may impair personal functioning in normal social activity. Impairments of global or specific mental functions may be experienced, with associated activity limitations and participation restrictions in a range of areas. Supports needed may vary in range, and may be required with intermittent intensity during the course of the condition. Change in level of supports tends to be related to changes in the extent of the impairment and the environment. Psychiatric disability may be associated with schizophrenias, affective disorders, anxiety disorders, addictive behaviours, personality disorders, stress, psychosis, depression and adjustment disorders.</w:t>
            </w:r>
          </w:p>
          <w:p>
            <w:pPr>
              <w:spacing w:after="160"/>
            </w:pPr>
            <w:r>
              <w:rPr>
                <w:rStyle w:val="row-content-rich-text"/>
              </w:rPr>
              <w:t xml:space="preserve">Code 3     Sensory/speech</w:t>
            </w:r>
          </w:p>
          <w:p>
            <w:pPr>
              <w:spacing w:after="160"/>
            </w:pPr>
            <w:r>
              <w:rPr>
                <w:rStyle w:val="row-content-rich-text"/>
              </w:rPr>
              <w:t xml:space="preserve">This grouping includes:</w:t>
            </w:r>
          </w:p>
          <w:p>
            <w:pPr>
              <w:spacing w:after="160"/>
            </w:pPr>
            <w:r>
              <w:rPr>
                <w:rStyle w:val="row-content-rich-text"/>
              </w:rPr>
              <w:t xml:space="preserve">Deafblind is used to describe dual sensory impairments causing severe restrictions in communication, and in the ability to participate in community life. </w:t>
            </w:r>
          </w:p>
          <w:p>
            <w:pPr>
              <w:spacing w:after="160"/>
            </w:pPr>
            <w:r>
              <w:rPr>
                <w:rStyle w:val="row-content-rich-text"/>
              </w:rPr>
              <w:t xml:space="preserve">Vision disability encompasses blindness and vision impairment (not corrected by glasses or contact lenses), which can cause severe restrictions in communication, and in the ability to participate in community life.</w:t>
            </w:r>
          </w:p>
          <w:p>
            <w:pPr>
              <w:spacing w:after="160"/>
            </w:pPr>
            <w:r>
              <w:rPr>
                <w:rStyle w:val="row-content-rich-text"/>
              </w:rPr>
              <w:t xml:space="preserve">Hearing disability encompasses deafness, hearing impairment, hearing loss, which can cause severe restrictions in communication, and in the ability to participate in community life.</w:t>
            </w:r>
          </w:p>
          <w:p>
            <w:pPr>
              <w:spacing w:after="160"/>
            </w:pPr>
            <w:r>
              <w:rPr>
                <w:rStyle w:val="row-content-rich-text"/>
              </w:rPr>
              <w:t xml:space="preserve">Speech disability encompasses speech loss, impairment and/or difficulty in communication which can cause severe restrictions in communication, and in the ability to participate in community life.</w:t>
            </w:r>
          </w:p>
          <w:p>
            <w:pPr>
              <w:spacing w:after="160"/>
            </w:pPr>
            <w:r>
              <w:rPr>
                <w:rStyle w:val="row-content-rich-text"/>
              </w:rPr>
              <w:t xml:space="preserve">Code 4    Physical/diverse</w:t>
            </w:r>
          </w:p>
          <w:p>
            <w:pPr>
              <w:spacing w:after="160"/>
            </w:pPr>
            <w:r>
              <w:rPr>
                <w:rStyle w:val="row-content-rich-text"/>
              </w:rPr>
              <w:t xml:space="preserve">Physical/diverse disability is associated with the presence of an impairment, which may have diverse effects within and among individuals, including effects on physical activities such as mobility. The range and extent of activity limitations and participation restrictions will vary with the extent of impairment and the environment. Environmental factors and support needs are related to areas of activity limitation and participation restrictions, and may be required for long periods. Level of supports may vary with both life changes and extent of impairment.</w:t>
            </w:r>
          </w:p>
          <w:p>
            <w:pPr>
              <w:spacing w:after="160"/>
            </w:pPr>
            <w:r>
              <w:rPr>
                <w:rStyle w:val="row-content-rich-text"/>
              </w:rPr>
              <w:t xml:space="preserve">This grouping includes:</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spacing w:after="160"/>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p>
            <w:pPr/>
            <w:r>
              <w:rPr>
                <w:rStyle w:val="row-content-rich-text"/>
              </w:rPr>
              <w:t xml:space="preserve">Neurological disability applies to impairments of the nervous system occurring after birth, and includes epilepsy and organic dementias (e.g. Alzheimer disease) as well as such conditions as multiple sclerosis and Parkinson disease.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2002-2003 Data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2005-06 Data Guide.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used as a basis for the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 Where a precise diagnosis is to be recorded, Episode of care—principal diagnosis, code (ICD-10-AM 6th edn) ANN{.N[N]} and Episode of care—additional diagnosis, code (ICD-10-AM 6th edn) ANN{.N[N]} may be used. The collection of data on disability-related metadata items and diagnosis, together, allows the relationship of the components of disability and related health conditions to be more thoroughly explored.</w:t>
            </w:r>
          </w:p>
          <w:p>
            <w:pPr>
              <w:spacing w:after="160"/>
            </w:pPr>
            <w:r>
              <w:rPr>
                <w:rStyle w:val="row-content-rich-text"/>
              </w:rPr>
              <w:t xml:space="preserve">Consumer groups, service providers and governments may use these groupings to make national and international comparisons.</w:t>
            </w:r>
          </w:p>
          <w:p>
            <w:pPr>
              <w:spacing w:after="160"/>
            </w:pPr>
            <w:r>
              <w:rPr>
                <w:rStyle w:val="row-content-rich-text"/>
              </w:rPr>
              <w:t xml:space="preserve">The experience of disability is complex and multi-dimensional. It can be described using impairments of structure and/or function, patterns of activity limitation, participation restrictions, environmental factors and support needs.</w:t>
            </w:r>
          </w:p>
          <w:p>
            <w:pPr/>
            <w:r>
              <w:rPr>
                <w:rStyle w:val="row-content-rich-text"/>
              </w:rPr>
              <w:t xml:space="preserve">Each of these dimensions can inform the decision on which group to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collections may report at a lower level of detail. However, it is important that the two levels of classification can be mapped to each other.</w:t>
            </w:r>
          </w:p>
          <w:p>
            <w:pPr>
              <w:spacing w:after="160"/>
            </w:pPr>
            <w:r>
              <w:rPr>
                <w:rStyle w:val="row-content-rich-text"/>
              </w:rPr>
              <w:t xml:space="preserve">Code 1     Intellectual /learning</w:t>
            </w:r>
          </w:p>
          <w:p>
            <w:pPr>
              <w:spacing w:after="160"/>
            </w:pPr>
            <w:r>
              <w:rPr>
                <w:rStyle w:val="row-content-rich-text"/>
              </w:rPr>
              <w:t xml:space="preserve">Intellectual</w:t>
            </w:r>
            <w:r>
              <w:br/>
            </w:r>
            <w:r>
              <w:rPr>
                <w:rStyle w:val="row-content-rich-text"/>
              </w:rPr>
              <w:t xml:space="preserve">Specific learning</w:t>
            </w:r>
            <w:r>
              <w:br/>
            </w:r>
            <w:r>
              <w:rPr>
                <w:rStyle w:val="row-content-rich-text"/>
              </w:rPr>
              <w:t xml:space="preserve">Autism</w:t>
            </w:r>
            <w:r>
              <w:br/>
            </w:r>
            <w:r>
              <w:rPr>
                <w:rStyle w:val="row-content-rich-text"/>
              </w:rPr>
              <w:t xml:space="preserve">Developmental delay</w:t>
            </w:r>
          </w:p>
          <w:p>
            <w:pPr>
              <w:spacing w:after="160"/>
            </w:pPr>
            <w:r>
              <w:rPr>
                <w:rStyle w:val="row-content-rich-text"/>
              </w:rPr>
              <w:t xml:space="preserve">Code 2     Psychiatric</w:t>
            </w:r>
          </w:p>
          <w:p>
            <w:pPr>
              <w:spacing w:after="160"/>
            </w:pPr>
            <w:r>
              <w:rPr>
                <w:rStyle w:val="row-content-rich-text"/>
              </w:rPr>
              <w:t xml:space="preserve">Psychiatric</w:t>
            </w:r>
          </w:p>
          <w:p>
            <w:pPr>
              <w:spacing w:after="160"/>
            </w:pPr>
            <w:r>
              <w:rPr>
                <w:rStyle w:val="row-content-rich-text"/>
              </w:rPr>
              <w:t xml:space="preserve">Code 3     Sensory/speech</w:t>
            </w:r>
          </w:p>
          <w:p>
            <w:pPr>
              <w:spacing w:after="160"/>
            </w:pPr>
            <w:r>
              <w:rPr>
                <w:rStyle w:val="row-content-rich-text"/>
              </w:rPr>
              <w:t xml:space="preserve">Deafblind</w:t>
            </w:r>
            <w:r>
              <w:br/>
            </w:r>
            <w:r>
              <w:rPr>
                <w:rStyle w:val="row-content-rich-text"/>
              </w:rPr>
              <w:t xml:space="preserve">Vision</w:t>
            </w:r>
            <w:r>
              <w:br/>
            </w:r>
            <w:r>
              <w:rPr>
                <w:rStyle w:val="row-content-rich-text"/>
              </w:rPr>
              <w:t xml:space="preserve">Hearing</w:t>
            </w:r>
            <w:r>
              <w:br/>
            </w:r>
            <w:r>
              <w:rPr>
                <w:rStyle w:val="row-content-rich-text"/>
              </w:rPr>
              <w:t xml:space="preserve">Speech</w:t>
            </w:r>
          </w:p>
          <w:p>
            <w:pPr>
              <w:spacing w:after="160"/>
            </w:pPr>
            <w:r>
              <w:rPr>
                <w:rStyle w:val="row-content-rich-text"/>
              </w:rPr>
              <w:t xml:space="preserve">Code 4     Physical/diverse</w:t>
            </w:r>
          </w:p>
          <w:p>
            <w:pPr>
              <w:spacing w:after="160"/>
            </w:pPr>
            <w:r>
              <w:rPr>
                <w:rStyle w:val="row-content-rich-text"/>
              </w:rPr>
              <w:t xml:space="preserve">Physical</w:t>
            </w:r>
            <w:r>
              <w:br/>
            </w:r>
            <w:r>
              <w:rPr>
                <w:rStyle w:val="row-content-rich-text"/>
              </w:rPr>
              <w:t xml:space="preserve">Acquired brain impairment</w:t>
            </w:r>
            <w:r>
              <w:br/>
            </w:r>
            <w:r>
              <w:rPr>
                <w:rStyle w:val="row-content-rich-text"/>
              </w:rPr>
              <w:t xml:space="preserve">Neurological</w:t>
            </w:r>
          </w:p>
          <w:p>
            <w:pPr>
              <w:spacing w:after="160"/>
            </w:pPr>
            <w:r>
              <w:rPr>
                <w:rStyle w:val="row-content-rich-text"/>
              </w:rPr>
              <w:t xml:space="preserve"> </w:t>
            </w:r>
          </w:p>
          <w:p>
            <w:pPr/>
            <w:r>
              <w:rPr>
                <w:rStyle w:val="row-content-rich-text"/>
              </w:rPr>
              <w:t xml:space="preserve">Specific collections may require information on all disabilities of person, on only one primary disability or on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da9875c00144f5f">
              <w:r>
                <w:drawing>
                  <wp:inline xmlns:wp="http://schemas.openxmlformats.org/drawingml/2006/wordprocessingDrawing" distT="0" distB="0" distL="0" distR="0">
                    <wp:extent cx="152400" cy="152400"/>
                    <wp:effectExtent l="19050" t="0" r="0" b="0"/>
                    <wp:docPr id="2" name="Picture 2" descr="">
                      <a:hlinkClick xmlns:a="http://schemas.openxmlformats.org/drawingml/2006/main" r:id="R2da9875c00144f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2fd6ee022e4595"/>
                            <a:srcRect/>
                            <a:stretch>
                              <a:fillRect/>
                            </a:stretch>
                          </pic:blipFill>
                          <pic:spPr bwMode="auto">
                            <a:xfrm>
                              <a:off x="0" y="0"/>
                              <a:ext cx="152400" cy="152400"/>
                            </a:xfrm>
                            <a:prstGeom prst="rect">
                              <a:avLst/>
                            </a:prstGeom>
                          </pic:spPr>
                        </pic:pic>
                      </a:graphicData>
                    </a:graphic>
                  </wp:inline>
                </w:drawing>
              </w:r>
              <w:r>
                <w:rPr>
                  <w:rStyle w:val="Hyperlink"/>
                </w:rPr>
                <w:t xml:space="preserve"> Disability grouping, version 2, DE, NCSDD, NCSIMG, Superseded 01/03/2005.pdf</w:t>
              </w:r>
            </w:hyperlink>
          </w:p>
          <w:p>
            <w:r>
              <w:rPr>
                <w:rStyle w:val="row-content"/>
              </w:rPr>
              <w:t xml:space="preserve"> (28.2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ba128e55a24421">
              <w:r>
                <w:rPr>
                  <w:rStyle w:val="Hyperlink"/>
                </w:rPr>
                <w:t xml:space="preserve">Child protection and support services (CPSS) client cluster</w:t>
              </w:r>
            </w:hyperlink>
          </w:p>
          <w:p>
            <w:pPr>
              <w:spacing w:before="0" w:after="0"/>
            </w:pPr>
            <w:r>
              <w:rPr>
                <w:rStyle w:val="row-content"/>
                <w:color w:val="244061"/>
              </w:rPr>
              <w:t xml:space="preserve">       </w:t>
            </w:r>
            <w:hyperlink w:history="true" r:id="R20bf2d4c79694735">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p>
        </w:tc>
      </w:tr>
    </w:tbl>
    <w:p/>
    <w:tbl>
      <w:tblPr>
        <w:tblStyle w:val="TableGrid"/>
        <w:tblW w:w="0" w:type="auto"/>
      </w:tblPr>
    </w:tbl>
    <w:p>
      <w:r>
        <w:br/>
      </w:r>
    </w:p>
    <w:sectPr>
      <w:footerReference xmlns:r="http://schemas.openxmlformats.org/officeDocument/2006/relationships" w:type="default" r:id="R0a6eb63da39848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337532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061fcf21d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eb63da39848e2" /><Relationship Type="http://schemas.openxmlformats.org/officeDocument/2006/relationships/header" Target="/word/header1.xml" Id="R0bbc51539224480d" /><Relationship Type="http://schemas.openxmlformats.org/officeDocument/2006/relationships/settings" Target="/word/settings.xml" Id="R4eaa853469f04a76" /><Relationship Type="http://schemas.openxmlformats.org/officeDocument/2006/relationships/styles" Target="/word/styles.xml" Id="Rdf535bb6a1f34298" /><Relationship Type="http://schemas.openxmlformats.org/officeDocument/2006/relationships/hyperlink" Target="https://meteor.aihw.gov.au/RegistrationAuthority/1" TargetMode="External" Id="R72ec3be29f9e4b38" /><Relationship Type="http://schemas.openxmlformats.org/officeDocument/2006/relationships/hyperlink" Target="https://meteor.aihw.gov.au/content/327300" TargetMode="External" Id="R9d2c57479b134051" /><Relationship Type="http://schemas.openxmlformats.org/officeDocument/2006/relationships/hyperlink" Target="https://meteor.aihw.gov.au/content/327296" TargetMode="External" Id="R2a23ac6887c644a6" /><Relationship Type="http://schemas.openxmlformats.org/officeDocument/2006/relationships/hyperlink" Target="https://meteor.aihw.gov.au/content/327312" TargetMode="External" Id="R1ed5da8c7fc74f0c" /><Relationship Type="http://schemas.openxmlformats.org/officeDocument/2006/relationships/hyperlink" Target="https://meteor.aihw.gov.au/content/327298" TargetMode="External" Id="R175999c387be4de3" /><Relationship Type="http://schemas.openxmlformats.org/officeDocument/2006/relationships/hyperlink" Target="https://meteor.aihw.gov.au/content/327286" TargetMode="External" Id="Rd7c286da42e443c0" /><Relationship Type="http://schemas.openxmlformats.org/officeDocument/2006/relationships/hyperlink" Target="https://meteor.aihw.gov.au/content/315311" TargetMode="External" Id="R93e87ecfcc054fb1" /><Relationship Type="http://schemas.openxmlformats.org/officeDocument/2006/relationships/hyperlink" Target="https://meteor.aihw.gov.au/content/316280" TargetMode="External" Id="Rb1499c91c02b45d2" /><Relationship Type="http://schemas.openxmlformats.org/officeDocument/2006/relationships/hyperlink" Target="https://meteor.aihw.gov.au/content/273977" TargetMode="External" Id="R2da9875c00144f5f" /><Relationship Type="http://schemas.openxmlformats.org/officeDocument/2006/relationships/image" Target="/media/image.gif" Id="Rea2fd6ee022e4595" /><Relationship Type="http://schemas.openxmlformats.org/officeDocument/2006/relationships/hyperlink" Target="https://meteor.aihw.gov.au/content/355790" TargetMode="External" Id="Rf3ba128e55a24421" /><Relationship Type="http://schemas.openxmlformats.org/officeDocument/2006/relationships/hyperlink" Target="https://meteor.aihw.gov.au/RegistrationAuthority/1" TargetMode="External" Id="R20bf2d4c79694735" /></Relationships>
</file>

<file path=word/_rels/header1.xml.rels>&#65279;<?xml version="1.0" encoding="utf-8"?><Relationships xmlns="http://schemas.openxmlformats.org/package/2006/relationships"><Relationship Type="http://schemas.openxmlformats.org/officeDocument/2006/relationships/image" Target="/media/image.png" Id="Rf45061fcf21d42b1" /></Relationships>
</file>