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186ae015a473c" /></Relationships>
</file>

<file path=word/document.xml><?xml version="1.0" encoding="utf-8"?>
<w:document xmlns:r="http://schemas.openxmlformats.org/officeDocument/2006/relationships" xmlns:w="http://schemas.openxmlformats.org/wordprocessingml/2006/main">
  <w:body>
    <w:p>
      <w:pPr>
        <w:pStyle w:val="Title"/>
      </w:pPr>
      <w:r>
        <w:t>Person—disability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5e2dcf026459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groupings constitute a broad categorisation of disabilities in terms of the underlying health condition, impairment, activity limitations, participation restrictions, environmental factors and support needs.</w:t>
            </w:r>
          </w:p>
          <w:p>
            <w:pPr/>
            <w:r>
              <w:rPr>
                <w:rStyle w:val="row-content-rich-text"/>
              </w:rPr>
              <w:t xml:space="preserve">Disability is the umbrella term for any or all of: an impairment of </w:t>
            </w:r>
            <w:hyperlink w:tooltip="Body structures are anatomical parts of the body such as organs, limbs and their components." w:history="true" r:id="R986c955b8d5f4178">
              <w:r>
                <w:rPr>
                  <w:rStyle w:val="Hyperlink"/>
                  <w:b/>
                </w:rPr>
                <w:t xml:space="preserve">body structure </w:t>
              </w:r>
            </w:hyperlink>
            <w:r>
              <w:rPr>
                <w:rStyle w:val="row-content-rich-text"/>
              </w:rPr>
              <w:t xml:space="preserve">or function, a limitation in </w:t>
            </w:r>
            <w:hyperlink w:tooltip="In the context of health, an activity is the execution of a task or action by an individual." w:history="true" r:id="R2bd05c703f544648">
              <w:r>
                <w:rPr>
                  <w:rStyle w:val="Hyperlink"/>
                  <w:b/>
                </w:rPr>
                <w:t xml:space="preserve">activities</w:t>
              </w:r>
            </w:hyperlink>
            <w:r>
              <w:rPr>
                <w:rStyle w:val="row-content-rich-text"/>
              </w:rPr>
              <w:t xml:space="preserve">, or a restriction in </w:t>
            </w:r>
            <w:hyperlink w:tooltip="In the context of health, participation is involvement in a life situation. " w:history="true" r:id="R315618ee31c044f7">
              <w:r>
                <w:rPr>
                  <w:rStyle w:val="Hyperlink"/>
                  <w:b/>
                </w:rPr>
                <w:t xml:space="preserve">participation</w:t>
              </w:r>
            </w:hyperlink>
            <w:r>
              <w:rPr>
                <w:rStyle w:val="row-content-rich-text"/>
              </w:rPr>
              <w:t xml:space="preserve">. Disability is defined in terms of three components: 'Body functions and structures', </w:t>
            </w:r>
            <w:hyperlink w:tooltip="The help that a person receives or needs from another person, because of their difficulty in performing an activity or in participating in an area of life." w:history="true" r:id="Rffd2dae08ab24747">
              <w:r>
                <w:rPr>
                  <w:rStyle w:val="Hyperlink"/>
                  <w:b/>
                </w:rPr>
                <w:t xml:space="preserve">'Activity and Participation'</w:t>
              </w:r>
            </w:hyperlink>
            <w:r>
              <w:rPr>
                <w:rStyle w:val="row-content-rich-text"/>
              </w:rPr>
              <w:t xml:space="preserve"> and </w:t>
            </w:r>
            <w:hyperlink w:tooltip="Environmental factors make up the physical, social and attitudinal environment in which people live and conduct their lives." w:history="true" r:id="Re025de86390f4a0b">
              <w:r>
                <w:rPr>
                  <w:rStyle w:val="Hyperlink"/>
                  <w:b/>
                </w:rPr>
                <w:t xml:space="preserve">'Environmental factors'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cd6e1efc843e0">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cacb6a21641d7">
              <w:r>
                <w:rPr>
                  <w:rStyle w:val="Hyperlink"/>
                </w:rPr>
                <w:t xml:space="preserve">Disability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used as a basis for the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 Where a precise diagnosis is to be recorded, Episode of care—principal diagnosis, code (ICD-10-AM 6th edn) ANN{.N[N]} and Episode of care—additional diagnosis, code (ICD-10-AM 6th edn) ANN{.N[N]}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r>
              <w:rPr>
                <w:rStyle w:val="row-content-rich-text"/>
              </w:rPr>
              <w:t xml:space="preserve">Each of these dimensions can inform the decision on which group to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report at a lower level of detail. However, it is important that the two levels of classification can be mapped to each other.</w:t>
            </w:r>
          </w:p>
          <w:p>
            <w:pPr>
              <w:spacing w:after="160"/>
            </w:pPr>
            <w:r>
              <w:rPr>
                <w:rStyle w:val="row-content-rich-text"/>
              </w:rPr>
              <w:t xml:space="preserve">Code 1     Intellectual /learning</w:t>
            </w:r>
          </w:p>
          <w:p>
            <w:pPr>
              <w:spacing w:after="160"/>
            </w:pPr>
            <w:r>
              <w:rPr>
                <w:rStyle w:val="row-content-rich-text"/>
              </w:rPr>
              <w:t xml:space="preserve">Intellectual</w:t>
            </w:r>
            <w:r>
              <w:br/>
            </w:r>
            <w:r>
              <w:rPr>
                <w:rStyle w:val="row-content-rich-text"/>
              </w:rPr>
              <w:t xml:space="preserve">Specific learning</w:t>
            </w:r>
            <w:r>
              <w:br/>
            </w:r>
            <w:r>
              <w:rPr>
                <w:rStyle w:val="row-content-rich-text"/>
              </w:rPr>
              <w:t xml:space="preserve">Autism</w:t>
            </w:r>
            <w:r>
              <w:br/>
            </w:r>
            <w:r>
              <w:rPr>
                <w:rStyle w:val="row-content-rich-text"/>
              </w:rPr>
              <w:t xml:space="preserve">Developmental delay</w:t>
            </w:r>
          </w:p>
          <w:p>
            <w:pPr>
              <w:spacing w:after="160"/>
            </w:pPr>
            <w:r>
              <w:rPr>
                <w:rStyle w:val="row-content-rich-text"/>
              </w:rPr>
              <w:t xml:space="preserve">Code 2     Psychiatric</w:t>
            </w:r>
          </w:p>
          <w:p>
            <w:pPr>
              <w:spacing w:after="160"/>
            </w:pPr>
            <w:r>
              <w:rPr>
                <w:rStyle w:val="row-content-rich-text"/>
              </w:rPr>
              <w:t xml:space="preserve">Psychiatric</w:t>
            </w:r>
          </w:p>
          <w:p>
            <w:pPr>
              <w:spacing w:after="160"/>
            </w:pPr>
            <w:r>
              <w:rPr>
                <w:rStyle w:val="row-content-rich-text"/>
              </w:rPr>
              <w:t xml:space="preserve">Code 3     Sensory/speech</w:t>
            </w:r>
          </w:p>
          <w:p>
            <w:pPr>
              <w:spacing w:after="160"/>
            </w:pPr>
            <w:r>
              <w:rPr>
                <w:rStyle w:val="row-content-rich-text"/>
              </w:rPr>
              <w:t xml:space="preserve">Deafblind</w:t>
            </w:r>
            <w:r>
              <w:br/>
            </w:r>
            <w:r>
              <w:rPr>
                <w:rStyle w:val="row-content-rich-text"/>
              </w:rPr>
              <w:t xml:space="preserve">Vision</w:t>
            </w:r>
            <w:r>
              <w:br/>
            </w:r>
            <w:r>
              <w:rPr>
                <w:rStyle w:val="row-content-rich-text"/>
              </w:rPr>
              <w:t xml:space="preserve">Hearing</w:t>
            </w:r>
            <w:r>
              <w:br/>
            </w:r>
            <w:r>
              <w:rPr>
                <w:rStyle w:val="row-content-rich-text"/>
              </w:rPr>
              <w:t xml:space="preserve">Speech</w:t>
            </w:r>
          </w:p>
          <w:p>
            <w:pPr>
              <w:spacing w:after="160"/>
            </w:pPr>
            <w:r>
              <w:rPr>
                <w:rStyle w:val="row-content-rich-text"/>
              </w:rPr>
              <w:t xml:space="preserve">Code 4     Physical/diverse</w:t>
            </w:r>
          </w:p>
          <w:p>
            <w:pPr>
              <w:spacing w:after="160"/>
            </w:pPr>
            <w:r>
              <w:rPr>
                <w:rStyle w:val="row-content-rich-text"/>
              </w:rPr>
              <w:t xml:space="preserve">Physical</w:t>
            </w:r>
            <w:r>
              <w:br/>
            </w:r>
            <w:r>
              <w:rPr>
                <w:rStyle w:val="row-content-rich-text"/>
              </w:rPr>
              <w:t xml:space="preserve">Acquired brain impairment</w:t>
            </w:r>
            <w:r>
              <w:br/>
            </w:r>
            <w:r>
              <w:rPr>
                <w:rStyle w:val="row-content-rich-text"/>
              </w:rPr>
              <w:t xml:space="preserve">Neurological</w:t>
            </w:r>
          </w:p>
          <w:p>
            <w:pPr>
              <w:spacing w:after="160"/>
            </w:pPr>
            <w:r>
              <w:rPr>
                <w:rStyle w:val="row-content-rich-text"/>
              </w:rPr>
              <w:t xml:space="preserve"> </w:t>
            </w:r>
          </w:p>
          <w:p>
            <w:pPr/>
            <w:r>
              <w:rPr>
                <w:rStyle w:val="row-content-rich-text"/>
              </w:rPr>
              <w:t xml:space="preserve">Specific collections may require information on all disabilities of person, on only one primary disability or on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2cf78f181641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2cf78f181641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f2dd57e64c474b"/>
                            <a:srcRect/>
                            <a:stretch>
                              <a:fillRect/>
                            </a:stretch>
                          </pic:blipFill>
                          <pic:spPr bwMode="auto">
                            <a:xfrm>
                              <a:off x="0" y="0"/>
                              <a:ext cx="152400" cy="152400"/>
                            </a:xfrm>
                            <a:prstGeom prst="rect">
                              <a:avLst/>
                            </a:prstGeom>
                          </pic:spPr>
                        </pic:pic>
                      </a:graphicData>
                    </a:graphic>
                  </wp:inline>
                </w:drawing>
              </w:r>
              <w:r>
                <w:rPr>
                  <w:rStyle w:val="Hyperlink"/>
                </w:rPr>
                <w:t xml:space="preserve"> Disability grouping, version 2, DE, NCSDD, NCSIMG, Superseded 01/03/2005.pdf</w:t>
              </w:r>
            </w:hyperlink>
          </w:p>
          <w:p>
            <w:r>
              <w:rPr>
                <w:rStyle w:val="row-content"/>
              </w:rPr>
              <w:t xml:space="preserve"> (28.2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01affc8f944e6">
              <w:r>
                <w:rPr>
                  <w:rStyle w:val="Hyperlink"/>
                </w:rPr>
                <w:t xml:space="preserve">Child protection and support services (CPSS) client cluster</w:t>
              </w:r>
            </w:hyperlink>
          </w:p>
          <w:p>
            <w:pPr>
              <w:pStyle w:val="registration-status"/>
              <w:spacing w:before="0" w:after="0"/>
            </w:pPr>
            <w:hyperlink w:history="true" r:id="R1652cfaa276b45c2">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p>
        </w:tc>
      </w:tr>
    </w:tbl>
    <w:p/>
    <w:tbl>
      <w:tblPr>
        <w:tblStyle w:val="TableGrid"/>
        <w:tblW w:w="0" w:type="auto"/>
      </w:tblPr>
    </w:tbl>
    <w:p>
      <w:r>
        <w:br/>
      </w:r>
    </w:p>
    <w:sectPr>
      <w:footerReference xmlns:r="http://schemas.openxmlformats.org/officeDocument/2006/relationships" w:type="default" r:id="R8a1a31d22845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5af638a7b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a31d2284549c0" /><Relationship Type="http://schemas.openxmlformats.org/officeDocument/2006/relationships/header" Target="/word/header1.xml" Id="Ra22030097cae4e3a" /><Relationship Type="http://schemas.openxmlformats.org/officeDocument/2006/relationships/settings" Target="/word/settings.xml" Id="Rb5a2d158a81946c8" /><Relationship Type="http://schemas.openxmlformats.org/officeDocument/2006/relationships/styles" Target="/word/styles.xml" Id="Rf62767081ef24f33" /><Relationship Type="http://schemas.openxmlformats.org/officeDocument/2006/relationships/image" Target="/media/image.gif" Id="Rdff2dd57e64c474b" /><Relationship Type="http://schemas.openxmlformats.org/officeDocument/2006/relationships/hyperlink" Target="https://meteor.aihw.gov.au/RegistrationAuthority/1" TargetMode="External" Id="R1dd5e2dcf0264591" /><Relationship Type="http://schemas.openxmlformats.org/officeDocument/2006/relationships/hyperlink" Target="https://meteor.aihw.gov.au/content/327300" TargetMode="External" Id="R986c955b8d5f4178" /><Relationship Type="http://schemas.openxmlformats.org/officeDocument/2006/relationships/hyperlink" Target="https://meteor.aihw.gov.au/content/327296" TargetMode="External" Id="R2bd05c703f544648" /><Relationship Type="http://schemas.openxmlformats.org/officeDocument/2006/relationships/hyperlink" Target="https://meteor.aihw.gov.au/content/327312" TargetMode="External" Id="R315618ee31c044f7" /><Relationship Type="http://schemas.openxmlformats.org/officeDocument/2006/relationships/hyperlink" Target="https://meteor.aihw.gov.au/content/327298" TargetMode="External" Id="Rffd2dae08ab24747" /><Relationship Type="http://schemas.openxmlformats.org/officeDocument/2006/relationships/hyperlink" Target="https://meteor.aihw.gov.au/content/327286" TargetMode="External" Id="Re025de86390f4a0b" /><Relationship Type="http://schemas.openxmlformats.org/officeDocument/2006/relationships/hyperlink" Target="https://meteor.aihw.gov.au/content/315311" TargetMode="External" Id="R1f6cd6e1efc843e0" /><Relationship Type="http://schemas.openxmlformats.org/officeDocument/2006/relationships/hyperlink" Target="https://meteor.aihw.gov.au/content/316280" TargetMode="External" Id="Ra4bcacb6a21641d7" /><Relationship Type="http://schemas.openxmlformats.org/officeDocument/2006/relationships/hyperlink" Target="https://meteor.aihw.gov.au/content/273977" TargetMode="External" Id="R602cf78f1816411d" /><Relationship Type="http://schemas.openxmlformats.org/officeDocument/2006/relationships/hyperlink" Target="https://meteor.aihw.gov.au/content/355790" TargetMode="External" Id="Rd4701affc8f944e6" /><Relationship Type="http://schemas.openxmlformats.org/officeDocument/2006/relationships/hyperlink" Target="https://meteor.aihw.gov.au/RegistrationAuthority/1" TargetMode="External" Id="R1652cfaa276b45c2" /></Relationships>
</file>

<file path=word/_rels/header1.xml.rels>&#65279;<?xml version="1.0" encoding="utf-8"?><Relationships xmlns="http://schemas.openxmlformats.org/package/2006/relationships"><Relationship Type="http://schemas.openxmlformats.org/officeDocument/2006/relationships/image" Target="/media/image.png" Id="R79b5af638a7b4e24" /></Relationships>
</file>