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28117ff514825" /></Relationships>
</file>

<file path=word/document.xml><?xml version="1.0" encoding="utf-8"?>
<w:document xmlns:r="http://schemas.openxmlformats.org/officeDocument/2006/relationships" xmlns:w="http://schemas.openxmlformats.org/wordprocessingml/2006/main">
  <w:body>
    <w:p>
      <w:pPr>
        <w:pStyle w:val="Title"/>
      </w:pPr>
      <w:r>
        <w:t>Referral source (SAAP)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cfe1ddc9a4714">
              <w:r>
                <w:rPr>
                  <w:rStyle w:val="Hyperlink"/>
                  <w:color w:val="244061"/>
                </w:rPr>
                <w:t xml:space="preserve">Community Services (retired)</w:t>
              </w:r>
            </w:hyperlink>
            <w:r>
              <w:rPr>
                <w:rStyle w:val="row-content"/>
                <w:color w:val="244061"/>
              </w:rPr>
              <w:t xml:space="preserve">, Recorded 07/08/2007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 or agency responsible for referral of a client to a SAAP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Psychiatric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SAAP agency/worker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 </w:t>
            </w:r>
          </w:p>
        </w:tc>
        <w:tc>
          <w:tcPr>
            <w:tcBorders>
              <w:top w:val="none" w:color="000000" w:sz="0"/>
              <w:left w:val="none" w:color="000000" w:sz="0"/>
              <w:bottom w:val="none" w:color="000000" w:sz="0"/>
              <w:right w:val="none" w:color="000000" w:sz="0"/>
            </w:tcBorders>
            <w:vAlign w:val="top"/>
          </w:tcPr>
          <w:p>
            <w:r>
              <w:t xml:space="preserve">Other 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Family/friends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Police/legal unit/correction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School/other education institution</w:t>
            </w:r>
          </w:p>
          <w:p>
            <w:pPr>
              <w:spacing w:after="160"/>
            </w:pPr>
            <w:r>
              <w:rPr>
                <w:rStyle w:val="row-content-rich-text"/>
              </w:rPr>
              <w:t xml:space="preserve">School/other education institution refers to a teacher, other staff member, pamphlet or advertisement at a school, college (including TAFE), university or other training institution.</w:t>
            </w:r>
          </w:p>
          <w:p>
            <w:pPr>
              <w:spacing w:after="160"/>
            </w:pPr>
            <w:r>
              <w:rPr>
                <w:rStyle w:val="row-content-rich-text"/>
              </w:rPr>
              <w:t xml:space="preserve">CODE 3 Community services department</w:t>
            </w:r>
          </w:p>
          <w:p>
            <w:pPr>
              <w:spacing w:after="160"/>
            </w:pPr>
            <w:r>
              <w:rPr>
                <w:rStyle w:val="row-content-rich-text"/>
              </w:rPr>
              <w:t xml:space="preserve">Community services department refers to the department in the state or territory responsible for administering SAAP. This also includes units such as Crisis Care.</w:t>
            </w:r>
          </w:p>
          <w:p>
            <w:pPr>
              <w:spacing w:after="160"/>
            </w:pPr>
            <w:r>
              <w:rPr>
                <w:rStyle w:val="row-content-rich-text"/>
              </w:rPr>
              <w:t xml:space="preserve">CODE 7 Psychiatric unit</w:t>
            </w:r>
          </w:p>
          <w:p>
            <w:pPr>
              <w:spacing w:after="160"/>
            </w:pPr>
            <w:r>
              <w:rPr>
                <w:rStyle w:val="row-content-rich-text"/>
              </w:rPr>
              <w:t xml:space="preserve">Psychiatric unit includes information and referrals from dedicated psychiatric hospitals and psychiatric units.</w:t>
            </w:r>
          </w:p>
          <w:p>
            <w:pPr>
              <w:spacing w:after="160"/>
            </w:pPr>
            <w:r>
              <w:rPr>
                <w:rStyle w:val="row-content-rich-text"/>
              </w:rPr>
              <w:t xml:space="preserve">CODE 8 Telephone/crisis referral agency</w:t>
            </w:r>
          </w:p>
          <w:p>
            <w:pPr>
              <w:spacing w:after="160"/>
            </w:pPr>
            <w:r>
              <w:rPr>
                <w:rStyle w:val="row-content-rich-text"/>
              </w:rPr>
              <w:t xml:space="preserve">Telephone/crisis referral agency includes both SAAP and non-SAAP funded agencies providing information and referrals.</w:t>
            </w:r>
          </w:p>
          <w:p>
            <w:pPr>
              <w:spacing w:after="160"/>
            </w:pPr>
            <w:r>
              <w:rPr>
                <w:rStyle w:val="row-content-rich-text"/>
              </w:rPr>
              <w:t xml:space="preserve">CODE 9 SAAP agency/worker</w:t>
            </w:r>
          </w:p>
          <w:p>
            <w:pPr>
              <w:spacing w:after="160"/>
            </w:pPr>
            <w:r>
              <w:rPr>
                <w:rStyle w:val="row-content-rich-text"/>
              </w:rPr>
              <w:t xml:space="preserve">SAAP agency/worker includes information and referrals by other SAAP-funded agencies or workers at the agency.</w:t>
            </w:r>
          </w:p>
          <w:p>
            <w:pPr>
              <w:spacing w:after="160"/>
            </w:pPr>
            <w:r>
              <w:rPr>
                <w:rStyle w:val="row-content-rich-text"/>
              </w:rPr>
              <w:t xml:space="preserve">CODE 10 Other government department</w:t>
            </w:r>
          </w:p>
          <w:p>
            <w:pPr>
              <w:spacing w:after="160"/>
            </w:pPr>
            <w:r>
              <w:rPr>
                <w:rStyle w:val="row-content-rich-text"/>
              </w:rPr>
              <w:t xml:space="preserve">Other government department includes referrals and information from government departments excluding community services departments. These include Centrelink, state or territory departments of housing and health (if different from the agency's funding body), and local councils.</w:t>
            </w:r>
          </w:p>
          <w:p>
            <w:pPr>
              <w:spacing w:after="160"/>
            </w:pPr>
            <w:r>
              <w:rPr>
                <w:rStyle w:val="row-content-rich-text"/>
              </w:rPr>
              <w:t xml:space="preserve">CODE 11 Other non-government organisation</w:t>
            </w:r>
          </w:p>
          <w:p>
            <w:pPr>
              <w:spacing w:after="160"/>
            </w:pPr>
            <w:r>
              <w:rPr>
                <w:rStyle w:val="row-content-rich-text"/>
              </w:rPr>
              <w:t xml:space="preserve">Other non-government organisation includes information and referrals from non-SAAP-funded church organisations, non-SAAP-funded migrant, youth, women's or Aboriginal resource centres, and organisations such as Lifeline.</w:t>
            </w:r>
          </w:p>
          <w:p>
            <w:pPr>
              <w:spacing w:after="160"/>
            </w:pPr>
            <w:r>
              <w:rPr>
                <w:rStyle w:val="row-content-rich-text"/>
              </w:rPr>
              <w:t xml:space="preserve">CODE 13 Self</w:t>
            </w:r>
          </w:p>
          <w:p>
            <w:pPr>
              <w:spacing w:after="160"/>
            </w:pPr>
            <w:r>
              <w:rPr>
                <w:rStyle w:val="row-content-rich-text"/>
              </w:rPr>
              <w:t xml:space="preserve">Self is used for clients who self-refer to the agency. They may be previous clients of the agency.</w:t>
            </w:r>
          </w:p>
          <w:p>
            <w:pPr>
              <w:spacing w:after="160"/>
            </w:pPr>
            <w:r>
              <w:rPr>
                <w:rStyle w:val="row-content-rich-text"/>
              </w:rPr>
              <w:t xml:space="preserve">CODE 16 Family/friends</w:t>
            </w:r>
          </w:p>
          <w:p>
            <w:pPr>
              <w:spacing w:after="160"/>
            </w:pPr>
            <w:r>
              <w:rPr>
                <w:rStyle w:val="row-content-rich-text"/>
              </w:rPr>
              <w:t xml:space="preserve">Family/friends is used to identify whether the client was referred by or heard about the agency from family members or friends.</w:t>
            </w:r>
          </w:p>
          <w:p>
            <w:pPr>
              <w:spacing w:after="160"/>
            </w:pPr>
            <w:r>
              <w:rPr>
                <w:rStyle w:val="row-content-rich-text"/>
              </w:rPr>
              <w:t xml:space="preserve">CODE 17 Police/legal unit/correction institution</w:t>
            </w:r>
          </w:p>
          <w:p>
            <w:pPr>
              <w:spacing w:after="160"/>
            </w:pPr>
            <w:r>
              <w:rPr>
                <w:rStyle w:val="row-content-rich-text"/>
              </w:rPr>
              <w:t xml:space="preserve">Police/legal unit/correction institution includes members of both State and Federal police departments, including community policing squads, and any officer of a court of law, the Director of Public Prosecutions (DPP), or a worker at a legal aid office. It also includes information and referrals from public and private prisons and juvenile detention centres.</w:t>
            </w:r>
          </w:p>
          <w:p>
            <w:pPr>
              <w:spacing w:after="160"/>
            </w:pPr>
            <w:r>
              <w:rPr>
                <w:rStyle w:val="row-content-rich-text"/>
              </w:rPr>
              <w:t xml:space="preserve">CODE 18 Health services</w:t>
            </w:r>
          </w:p>
          <w:p>
            <w:pPr>
              <w:spacing w:after="160"/>
            </w:pPr>
            <w:r>
              <w:rPr>
                <w:rStyle w:val="row-content-rich-text"/>
              </w:rPr>
              <w:t xml:space="preserve">Health services includes information and referrals from public and private hospitals, other than psychiatric hospitals, community health centres, health clinics, rehabilitation and detoxification centres, and health care professionals including general practitioners.</w:t>
            </w:r>
          </w:p>
          <w:p>
            <w:pPr>
              <w:spacing w:after="160"/>
            </w:pPr>
            <w:r>
              <w:rPr>
                <w:rStyle w:val="row-content-rich-text"/>
              </w:rPr>
              <w:t xml:space="preserve">CODE 88 Other</w:t>
            </w:r>
          </w:p>
          <w:p>
            <w:pPr>
              <w:spacing w:after="160"/>
            </w:pPr>
            <w:r>
              <w:rPr>
                <w:rStyle w:val="row-content-rich-text"/>
              </w:rPr>
              <w:t xml:space="preserve">Other is selected if the client gained information or was referred by a source not listed above.</w:t>
            </w:r>
          </w:p>
          <w:p>
            <w:pPr>
              <w:spacing w:after="160"/>
            </w:pPr>
            <w:r>
              <w:rPr>
                <w:rStyle w:val="row-content-rich-text"/>
              </w:rPr>
              <w:t xml:space="preserve">CODE 99 Not stated/inadequately described</w:t>
            </w:r>
          </w:p>
          <w:p>
            <w:pPr/>
            <w:r>
              <w:rPr>
                <w:rStyle w:val="row-content-rich-text"/>
              </w:rPr>
              <w:t xml:space="preserve">Not stated/inadequately described is selected if the referral/information source is not known or if information can not be obtained.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1b590c85d247d6">
              <w:r>
                <w:rPr>
                  <w:rStyle w:val="Hyperlink"/>
                </w:rPr>
                <w:t xml:space="preserve">Source of referral homelessness code N[N]</w:t>
              </w:r>
            </w:hyperlink>
          </w:p>
          <w:p>
            <w:pPr>
              <w:spacing w:before="0" w:after="0"/>
            </w:pPr>
            <w:r>
              <w:rPr>
                <w:rStyle w:val="row-content"/>
                <w:color w:val="244061"/>
              </w:rPr>
              <w:t xml:space="preserve">       </w:t>
            </w:r>
            <w:hyperlink w:history="true" r:id="R6d8ff4dbf37e420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ff00aef9ab040d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1bbc4bf1174956">
              <w:r>
                <w:rPr>
                  <w:rStyle w:val="Hyperlink"/>
                </w:rPr>
                <w:t xml:space="preserve">Referral—referral source, SAAP code N[N]</w:t>
              </w:r>
            </w:hyperlink>
          </w:p>
          <w:p>
            <w:pPr>
              <w:spacing w:before="0" w:after="0"/>
            </w:pPr>
            <w:r>
              <w:rPr>
                <w:rStyle w:val="row-content"/>
                <w:color w:val="244061"/>
              </w:rPr>
              <w:t xml:space="preserve">       </w:t>
            </w:r>
            <w:hyperlink w:history="true" r:id="Rdfec32d325b040c5">
              <w:r>
                <w:rPr>
                  <w:rStyle w:val="Hyperlink"/>
                  <w:color w:val="244061"/>
                </w:rPr>
                <w:t xml:space="preserve">Community Services (retired)</w:t>
              </w:r>
            </w:hyperlink>
            <w:r>
              <w:rPr>
                <w:rStyle w:val="row-content"/>
                <w:color w:val="244061"/>
              </w:rPr>
              <w:t xml:space="preserve">, Recorded 07/08/2007</w:t>
            </w:r>
          </w:p>
          <w:p>
            <w:r>
              <w:br/>
            </w:r>
          </w:p>
        </w:tc>
      </w:tr>
    </w:tbl>
    <w:p>
      <w:r>
        <w:br/>
      </w:r>
    </w:p>
    <w:sectPr>
      <w:footerReference xmlns:r="http://schemas.openxmlformats.org/officeDocument/2006/relationships" w:type="default" r:id="Rf683e6e39d5e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d6f3ff44f44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3e6e39d5e4539" /><Relationship Type="http://schemas.openxmlformats.org/officeDocument/2006/relationships/header" Target="/word/header1.xml" Id="R7c88ad03caaa4b26" /><Relationship Type="http://schemas.openxmlformats.org/officeDocument/2006/relationships/settings" Target="/word/settings.xml" Id="Rf91502f57f6a4d65" /><Relationship Type="http://schemas.openxmlformats.org/officeDocument/2006/relationships/styles" Target="/word/styles.xml" Id="R30fbd008f4514657" /><Relationship Type="http://schemas.openxmlformats.org/officeDocument/2006/relationships/hyperlink" Target="https://meteor.aihw.gov.au/RegistrationAuthority/1" TargetMode="External" Id="Rd0acfe1ddc9a4714" /><Relationship Type="http://schemas.openxmlformats.org/officeDocument/2006/relationships/hyperlink" Target="https://meteor.aihw.gov.au/content/401331" TargetMode="External" Id="R5e1b590c85d247d6" /><Relationship Type="http://schemas.openxmlformats.org/officeDocument/2006/relationships/hyperlink" Target="https://meteor.aihw.gov.au/RegistrationAuthority/14" TargetMode="External" Id="R6d8ff4dbf37e4204" /><Relationship Type="http://schemas.openxmlformats.org/officeDocument/2006/relationships/hyperlink" Target="https://meteor.aihw.gov.au/RegistrationAuthority/11" TargetMode="External" Id="R3ff00aef9ab040dc" /><Relationship Type="http://schemas.openxmlformats.org/officeDocument/2006/relationships/hyperlink" Target="https://meteor.aihw.gov.au/content/336797" TargetMode="External" Id="Ra91bbc4bf1174956" /><Relationship Type="http://schemas.openxmlformats.org/officeDocument/2006/relationships/hyperlink" Target="https://meteor.aihw.gov.au/RegistrationAuthority/1" TargetMode="External" Id="Rdfec32d325b040c5" /></Relationships>
</file>

<file path=word/_rels/header1.xml.rels>&#65279;<?xml version="1.0" encoding="utf-8"?><Relationships xmlns="http://schemas.openxmlformats.org/package/2006/relationships"><Relationship Type="http://schemas.openxmlformats.org/officeDocument/2006/relationships/image" Target="/media/image.png" Id="R5d1d6f3ff44f443b" /></Relationships>
</file>