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c0703508c34e7d"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organisation—funded service type, SAAP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organisation—funded service type,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Funded service type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45d66affc49ae">
              <w:r>
                <w:rPr>
                  <w:rStyle w:val="Hyperlink"/>
                  <w:color w:val="244061"/>
                </w:rPr>
                <w:t xml:space="preserve">Community Services (retired)</w:t>
              </w:r>
            </w:hyperlink>
            <w:r>
              <w:rPr>
                <w:rStyle w:val="row-content"/>
                <w:color w:val="244061"/>
              </w:rPr>
              <w:t xml:space="preserve">, Standard 15/09/2007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mode or manner in which a service is provided by an agency, or the broad category of service for which an agency is funded,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2ffa6b6b9d4ed4">
              <w:r>
                <w:rPr>
                  <w:rStyle w:val="Hyperlink"/>
                </w:rPr>
                <w:t xml:space="preserve">Service provider organisation—funded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5ab5f98f094f28">
              <w:r>
                <w:rPr>
                  <w:rStyle w:val="Hyperlink"/>
                </w:rPr>
                <w:t xml:space="preserve">SAAP funded service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 term accommodation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Day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Telephone 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 term accommodation and support</w:t>
            </w:r>
          </w:p>
          <w:p>
            <w:pPr>
              <w:spacing w:after="160"/>
            </w:pPr>
            <w:r>
              <w:rPr>
                <w:rStyle w:val="row-content-rich-text"/>
              </w:rPr>
              <w:t xml:space="preserve">Crisis/short term accommodation and support refers to accommodation that is generally provided for up to three months. Crisis accommodation generally involves a more intensive staff/client relationship, which may include 24 hour on-site or on-call access to staff support, usually required in early stages of homelessness.</w:t>
            </w:r>
          </w:p>
          <w:p>
            <w:pPr>
              <w:spacing w:after="160"/>
            </w:pPr>
            <w:r>
              <w:rPr>
                <w:rStyle w:val="row-content-rich-text"/>
              </w:rPr>
              <w:t xml:space="preserve">CODE 2 Medium/Long term accommodation and support</w:t>
            </w:r>
          </w:p>
          <w:p>
            <w:pPr>
              <w:spacing w:after="160"/>
            </w:pPr>
            <w:r>
              <w:rPr>
                <w:rStyle w:val="row-content-rich-text"/>
              </w:rPr>
              <w:t xml:space="preserve">Medium/long term accommodation services are directed towards linking homeless people into generalist services in the community and a more independent living situation. The accommodation used in such services is generally provided for three months or longer and support provided is generally less intensive than that provided in crisis accommodation.</w:t>
            </w:r>
          </w:p>
          <w:p>
            <w:pPr>
              <w:spacing w:after="160"/>
            </w:pPr>
            <w:r>
              <w:rPr>
                <w:rStyle w:val="row-content-rich-text"/>
              </w:rPr>
              <w:t xml:space="preserve">CODE 3 Day support</w:t>
            </w:r>
          </w:p>
          <w:p>
            <w:pPr>
              <w:spacing w:after="160"/>
            </w:pPr>
            <w:r>
              <w:rPr>
                <w:rStyle w:val="row-content-rich-text"/>
              </w:rPr>
              <w:t xml:space="preserve">Day support agencies provide a range of services for homeless people on a walk in basis, eg. an agency which provides a drop in centre, showering facilities and a meals service at the location of the SAAP agency</w:t>
            </w:r>
          </w:p>
          <w:p>
            <w:pPr>
              <w:spacing w:after="160"/>
            </w:pPr>
            <w:r>
              <w:rPr>
                <w:rStyle w:val="row-content-rich-text"/>
              </w:rPr>
              <w:t xml:space="preserve">CODE 4 Outreach service</w:t>
            </w:r>
          </w:p>
          <w:p>
            <w:pPr>
              <w:spacing w:after="160"/>
            </w:pPr>
            <w:r>
              <w:rPr>
                <w:rStyle w:val="row-content-rich-text"/>
              </w:rPr>
              <w:t xml:space="preserve">Outreach support is support in which the contact between the SAAP agency and SAAP clients or casual clients takes place in a location other than the SAAP agency or an outlet of the agency.</w:t>
            </w:r>
          </w:p>
          <w:p>
            <w:pPr>
              <w:spacing w:after="160"/>
            </w:pPr>
            <w:r>
              <w:rPr>
                <w:rStyle w:val="row-content-rich-text"/>
              </w:rPr>
              <w:t xml:space="preserve">CODE 5 Telephone information/referral</w:t>
            </w:r>
          </w:p>
          <w:p>
            <w:pPr>
              <w:spacing w:after="160"/>
            </w:pPr>
            <w:r>
              <w:rPr>
                <w:rStyle w:val="row-content-rich-text"/>
              </w:rPr>
              <w:t xml:space="preserve">Telephone information/referral services provide information or referrals via the telephone and do not usually see clients face to face.</w:t>
            </w:r>
          </w:p>
          <w:p>
            <w:pPr>
              <w:spacing w:after="160"/>
            </w:pPr>
            <w:r>
              <w:rPr>
                <w:rStyle w:val="row-content-rich-text"/>
              </w:rPr>
              <w:t xml:space="preserve">CODE 6 Agency support</w:t>
            </w:r>
          </w:p>
          <w:p>
            <w:pPr>
              <w:spacing w:after="160"/>
            </w:pPr>
            <w:r>
              <w:rPr>
                <w:rStyle w:val="row-content-rich-text"/>
              </w:rPr>
              <w:t xml:space="preserve">Agency support refers to agencies providing support to, and representation of, other SAAP agencies. Such agencies do not generally have 'clients', but assist other agencies, eg. Council to Homeless Persons.</w:t>
            </w:r>
          </w:p>
          <w:p>
            <w:pPr>
              <w:spacing w:after="160"/>
            </w:pPr>
            <w:r>
              <w:rPr>
                <w:rStyle w:val="row-content-rich-text"/>
              </w:rPr>
              <w:t xml:space="preserve">CODE 7 Multiple</w:t>
            </w:r>
          </w:p>
          <w:p>
            <w:pPr>
              <w:spacing w:after="160"/>
            </w:pPr>
            <w:r>
              <w:rPr>
                <w:rStyle w:val="row-content-rich-text"/>
              </w:rPr>
              <w:t xml:space="preserve">Multiple identifies agencies that frequently use more than one service delivery model for the provision of SAAP services.</w:t>
            </w:r>
          </w:p>
          <w:p>
            <w:pPr>
              <w:spacing w:after="160"/>
            </w:pPr>
            <w:r>
              <w:rPr>
                <w:rStyle w:val="row-content-rich-text"/>
              </w:rPr>
              <w:t xml:space="preserve">CODE 8 Other</w:t>
            </w:r>
          </w:p>
          <w:p>
            <w:pPr/>
            <w:r>
              <w:rPr>
                <w:rStyle w:val="row-content-rich-text"/>
              </w:rPr>
              <w:t xml:space="preserve">Other refers to agencies providing services according to a service delivery model not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Classification and Procedures. December 2006.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d5d3ad427c41ec">
              <w:r>
                <w:rPr>
                  <w:rStyle w:val="Hyperlink"/>
                </w:rPr>
                <w:t xml:space="preserve">SAAP Administrative National Minimum Data Set (NMDS)</w:t>
              </w:r>
            </w:hyperlink>
          </w:p>
          <w:p>
            <w:pPr>
              <w:spacing w:before="0" w:after="0"/>
            </w:pPr>
            <w:r>
              <w:rPr>
                <w:rStyle w:val="row-content"/>
                <w:color w:val="244061"/>
              </w:rPr>
              <w:t xml:space="preserve">       </w:t>
            </w:r>
            <w:hyperlink w:history="true" r:id="R5c21785848034586">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f62dcd38fcee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38dc82272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dcd38fcee4ada" /><Relationship Type="http://schemas.openxmlformats.org/officeDocument/2006/relationships/header" Target="/word/header1.xml" Id="R54c583c2c960450f" /><Relationship Type="http://schemas.openxmlformats.org/officeDocument/2006/relationships/settings" Target="/word/settings.xml" Id="R5bf5819b7db64262" /><Relationship Type="http://schemas.openxmlformats.org/officeDocument/2006/relationships/styles" Target="/word/styles.xml" Id="R6ba0c92a42634db9" /><Relationship Type="http://schemas.openxmlformats.org/officeDocument/2006/relationships/hyperlink" Target="https://meteor.aihw.gov.au/RegistrationAuthority/1" TargetMode="External" Id="Rf9d45d66affc49ae" /><Relationship Type="http://schemas.openxmlformats.org/officeDocument/2006/relationships/hyperlink" Target="https://meteor.aihw.gov.au/content/336679" TargetMode="External" Id="R892ffa6b6b9d4ed4" /><Relationship Type="http://schemas.openxmlformats.org/officeDocument/2006/relationships/hyperlink" Target="https://meteor.aihw.gov.au/content/336681" TargetMode="External" Id="Rd95ab5f98f094f28" /><Relationship Type="http://schemas.openxmlformats.org/officeDocument/2006/relationships/hyperlink" Target="https://meteor.aihw.gov.au/content/336310" TargetMode="External" Id="R82d5d3ad427c41ec" /><Relationship Type="http://schemas.openxmlformats.org/officeDocument/2006/relationships/hyperlink" Target="https://meteor.aihw.gov.au/RegistrationAuthority/1" TargetMode="External" Id="R5c21785848034586" /></Relationships>
</file>

<file path=word/_rels/header1.xml.rels>&#65279;<?xml version="1.0" encoding="utf-8"?><Relationships xmlns="http://schemas.openxmlformats.org/package/2006/relationships"><Relationship Type="http://schemas.openxmlformats.org/officeDocument/2006/relationships/image" Target="/media/image.png" Id="R09a38dc8227244a9" /></Relationships>
</file>