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7aeec95dd4cad"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size, range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size,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reserve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63540ab0144a2">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cost to the health authority of a medical indemnity claim when closed, including legal and investigative costs and claimant payment costs,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b6cca81864018">
              <w:r>
                <w:rPr>
                  <w:rStyle w:val="Hyperlink"/>
                </w:rPr>
                <w:t xml:space="preserve">Medical indemnity claim management episode—reserve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40d74e7ba4778">
              <w:r>
                <w:rPr>
                  <w:rStyle w:val="Hyperlink"/>
                </w:rPr>
                <w:t xml:space="preserve">Medical indemnity claim reserve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$10,000 to less than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$30,000 to less than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$50,000 to less than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$100,000 to less than $250,000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$250,000 to less than $500,000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$500,000 to less than $1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$1 million to less than $2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$2 million to less than $5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$5 million or more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6cac14f44342e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authority may adjust its reserve based on information that comes to hand subsequent to when the reserve was initially set, and/or based on expenses that are incurred prior to the finalisation of the claim. The amount recorded should reflect the current </w:t>
            </w:r>
            <w:hyperlink w:tooltip="The dollar amount that is the best current estimate of the likely cost of a claim when closed." w:history="true" r:id="R8065b5a1707e4a7e">
              <w:r>
                <w:rPr>
                  <w:rStyle w:val="Hyperlink"/>
                  <w:b/>
                </w:rPr>
                <w:t xml:space="preserve">reserve</w:t>
              </w:r>
            </w:hyperlink>
            <w:r>
              <w:rPr>
                <w:rStyle w:val="row-content-rich-text"/>
              </w:rPr>
              <w:t xml:space="preserve"> against the medical indemnity claim at the end of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Insurance Statistics Australia produces a reserve estimate for current medical indemnity claims, by combining its National Claims and Policies Database (APRA 2006) data items 20 'Gross payments to date' and 22 'Gross case estimate at end of reporting period'. Addition of these two dollar amounts produces the reserve estimate, which can be mapped to the Medical Indemnity National Collection ranges (AIHW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c900a9539c41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31e27aee154880">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81c6ad846e6b4ebb">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b4b046a89b4cec">
              <w:r>
                <w:rPr>
                  <w:rStyle w:val="Hyperlink"/>
                </w:rPr>
                <w:t xml:space="preserve">Medical indemnity DSS 2012-14</w:t>
              </w:r>
            </w:hyperlink>
          </w:p>
          <w:p>
            <w:pPr>
              <w:spacing w:before="0" w:after="0"/>
            </w:pPr>
            <w:r>
              <w:rPr>
                <w:rStyle w:val="row-content"/>
                <w:color w:val="244061"/>
              </w:rPr>
              <w:t xml:space="preserve">       </w:t>
            </w:r>
            <w:hyperlink w:history="true" r:id="R7cf625d105d4467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7b734518c00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77d65c361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734518c004fac" /><Relationship Type="http://schemas.openxmlformats.org/officeDocument/2006/relationships/header" Target="/word/header1.xml" Id="R3779efe8f5974e97" /><Relationship Type="http://schemas.openxmlformats.org/officeDocument/2006/relationships/settings" Target="/word/settings.xml" Id="R688581389f624bbf" /><Relationship Type="http://schemas.openxmlformats.org/officeDocument/2006/relationships/styles" Target="/word/styles.xml" Id="R249681c69b164efd" /><Relationship Type="http://schemas.openxmlformats.org/officeDocument/2006/relationships/hyperlink" Target="https://meteor.aihw.gov.au/RegistrationAuthority/12" TargetMode="External" Id="R3d563540ab0144a2" /><Relationship Type="http://schemas.openxmlformats.org/officeDocument/2006/relationships/hyperlink" Target="https://meteor.aihw.gov.au/content/329851" TargetMode="External" Id="Rbd0b6cca81864018" /><Relationship Type="http://schemas.openxmlformats.org/officeDocument/2006/relationships/hyperlink" Target="https://meteor.aihw.gov.au/content/330118" TargetMode="External" Id="R82840d74e7ba4778" /><Relationship Type="http://schemas.openxmlformats.org/officeDocument/2006/relationships/hyperlink" Target="https://meteor.aihw.gov.au/content/246013" TargetMode="External" Id="Ra66cac14f44342e3" /><Relationship Type="http://schemas.openxmlformats.org/officeDocument/2006/relationships/hyperlink" Target="https://meteor.aihw.gov.au/content/460218" TargetMode="External" Id="R8065b5a1707e4a7e" /><Relationship Type="http://schemas.openxmlformats.org/officeDocument/2006/relationships/hyperlink" Target="https://meteor.aihw.gov.au/content/246013" TargetMode="External" Id="R3cc900a9539c41e6" /><Relationship Type="http://schemas.openxmlformats.org/officeDocument/2006/relationships/hyperlink" Target="https://meteor.aihw.gov.au/content/482224" TargetMode="External" Id="R8c31e27aee154880" /><Relationship Type="http://schemas.openxmlformats.org/officeDocument/2006/relationships/hyperlink" Target="https://meteor.aihw.gov.au/RegistrationAuthority/12" TargetMode="External" Id="R81c6ad846e6b4ebb" /><Relationship Type="http://schemas.openxmlformats.org/officeDocument/2006/relationships/hyperlink" Target="https://meteor.aihw.gov.au/content/329638" TargetMode="External" Id="R62b4b046a89b4cec" /><Relationship Type="http://schemas.openxmlformats.org/officeDocument/2006/relationships/hyperlink" Target="https://meteor.aihw.gov.au/RegistrationAuthority/12" TargetMode="External" Id="R7cf625d105d44675" /></Relationships>
</file>

<file path=word/_rels/header1.xml.rels>&#65279;<?xml version="1.0" encoding="utf-8"?><Relationships xmlns="http://schemas.openxmlformats.org/package/2006/relationships"><Relationship Type="http://schemas.openxmlformats.org/officeDocument/2006/relationships/image" Target="/media/image.png" Id="Ra5177d65c36148fa" /></Relationships>
</file>