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b281fb51f4061"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1869282b8484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58ab0afb4c2485b">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e3af07a7246e4">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e0a1e9c454de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bd5acdce1f447c">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5592a7919ecf4d95">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831ef78c3417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eeaaf4dfcfd443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fd5bf996d7a54f8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069ab93bdf5446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2a181aa80ad84f42">
              <w:r>
                <w:rPr>
                  <w:rStyle w:val="Hyperlink"/>
                </w:rPr>
                <w:t xml:space="preserve">Disability Services NMDS 2009-10</w:t>
              </w:r>
            </w:hyperlink>
          </w:p>
          <w:p>
            <w:pPr>
              <w:spacing w:before="0" w:after="0"/>
            </w:pPr>
            <w:r>
              <w:rPr>
                <w:rStyle w:val="row-content"/>
                <w:color w:val="244061"/>
              </w:rPr>
              <w:t xml:space="preserve">       </w:t>
            </w:r>
            <w:hyperlink w:history="true" r:id="R569afb9bef0e4a9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b9ede70f64014046">
              <w:r>
                <w:rPr>
                  <w:rStyle w:val="Hyperlink"/>
                </w:rPr>
                <w:t xml:space="preserve">Disability Services NMDS 2010-11</w:t>
              </w:r>
            </w:hyperlink>
          </w:p>
          <w:p>
            <w:pPr>
              <w:spacing w:before="0" w:after="0"/>
            </w:pPr>
            <w:r>
              <w:rPr>
                <w:rStyle w:val="row-content"/>
                <w:color w:val="244061"/>
              </w:rPr>
              <w:t xml:space="preserve">       </w:t>
            </w:r>
            <w:hyperlink w:history="true" r:id="R1864a6887619416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51a9b8ed7d324e1e">
              <w:r>
                <w:rPr>
                  <w:rStyle w:val="Hyperlink"/>
                </w:rPr>
                <w:t xml:space="preserve">Disability Services NMDS 2011-12</w:t>
              </w:r>
            </w:hyperlink>
          </w:p>
          <w:p>
            <w:pPr>
              <w:spacing w:before="0" w:after="0"/>
            </w:pPr>
            <w:r>
              <w:rPr>
                <w:rStyle w:val="row-content"/>
                <w:color w:val="244061"/>
              </w:rPr>
              <w:t xml:space="preserve">       </w:t>
            </w:r>
            <w:hyperlink w:history="true" r:id="Rcf7212ea21244ca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f1d34eb9531641df">
              <w:r>
                <w:rPr>
                  <w:rStyle w:val="Hyperlink"/>
                </w:rPr>
                <w:t xml:space="preserve">Disability Services NMDS 2012-14</w:t>
              </w:r>
            </w:hyperlink>
          </w:p>
          <w:p>
            <w:pPr>
              <w:spacing w:before="0" w:after="0"/>
            </w:pPr>
            <w:r>
              <w:rPr>
                <w:rStyle w:val="row-content"/>
                <w:color w:val="244061"/>
              </w:rPr>
              <w:t xml:space="preserve">       </w:t>
            </w:r>
            <w:hyperlink w:history="true" r:id="R52fe30c65875432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6253e7cbd404497d">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16b028e456fb4e12">
              <w:r>
                <w:rPr>
                  <w:rStyle w:val="Hyperlink"/>
                </w:rPr>
                <w:t xml:space="preserve">service type outlet</w:t>
              </w:r>
            </w:hyperlink>
            <w:r>
              <w:rPr>
                <w:rStyle w:val="row-content"/>
              </w:rPr>
              <w:t xml:space="preserve"> is providing </w:t>
            </w:r>
            <w:hyperlink w:history="true" r:id="Rc92ece7a654a4ae9">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c0fa458ec06c4511">
              <w:r>
                <w:rPr>
                  <w:rStyle w:val="Hyperlink"/>
                </w:rPr>
                <w:t xml:space="preserve">Disability Services NMDS 2014-15</w:t>
              </w:r>
            </w:hyperlink>
          </w:p>
          <w:p>
            <w:pPr>
              <w:spacing w:before="0" w:after="0"/>
            </w:pPr>
            <w:r>
              <w:rPr>
                <w:rStyle w:val="row-content"/>
                <w:color w:val="244061"/>
              </w:rPr>
              <w:t xml:space="preserve">       </w:t>
            </w:r>
            <w:hyperlink w:history="true" r:id="R285f96091e4b4720">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afc24b7a480446d2">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e0f44fbceba7466f">
              <w:r>
                <w:rPr>
                  <w:rStyle w:val="Hyperlink"/>
                </w:rPr>
                <w:t xml:space="preserve">service type outlet</w:t>
              </w:r>
            </w:hyperlink>
            <w:r>
              <w:rPr>
                <w:rStyle w:val="row-content"/>
              </w:rPr>
              <w:t xml:space="preserve"> is providing </w:t>
            </w:r>
            <w:hyperlink w:history="true" r:id="R9e2f0129e6b2466c">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45f8b3dac4ad435d">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37045dacaca3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1cc4958d0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45dacaca347e7" /><Relationship Type="http://schemas.openxmlformats.org/officeDocument/2006/relationships/header" Target="/word/header1.xml" Id="R2bec44dd2b714ce1" /><Relationship Type="http://schemas.openxmlformats.org/officeDocument/2006/relationships/settings" Target="/word/settings.xml" Id="Rc8ece73fc369414f" /><Relationship Type="http://schemas.openxmlformats.org/officeDocument/2006/relationships/styles" Target="/word/styles.xml" Id="Ree9a3b7091604ca3" /><Relationship Type="http://schemas.openxmlformats.org/officeDocument/2006/relationships/hyperlink" Target="https://meteor.aihw.gov.au/RegistrationAuthority/1" TargetMode="External" Id="Rb4c1869282b8484c" /><Relationship Type="http://schemas.openxmlformats.org/officeDocument/2006/relationships/hyperlink" Target="https://meteor.aihw.gov.au/RegistrationAuthority/16" TargetMode="External" Id="R758ab0afb4c2485b" /><Relationship Type="http://schemas.openxmlformats.org/officeDocument/2006/relationships/hyperlink" Target="https://meteor.aihw.gov.au/content/323168" TargetMode="External" Id="Re4ee3af07a7246e4" /><Relationship Type="http://schemas.openxmlformats.org/officeDocument/2006/relationships/hyperlink" Target="https://meteor.aihw.gov.au/content/301747" TargetMode="External" Id="R974e0a1e9c454de0" /><Relationship Type="http://schemas.openxmlformats.org/officeDocument/2006/relationships/numbering" Target="/word/numbering.xml" Id="R136c5d4a886c4084" /><Relationship Type="http://schemas.openxmlformats.org/officeDocument/2006/relationships/hyperlink" Target="https://meteor.aihw.gov.au/content/621356" TargetMode="External" Id="Ra2bd5acdce1f447c" /><Relationship Type="http://schemas.openxmlformats.org/officeDocument/2006/relationships/hyperlink" Target="https://meteor.aihw.gov.au/RegistrationAuthority/16" TargetMode="External" Id="R5592a7919ecf4d95" /><Relationship Type="http://schemas.openxmlformats.org/officeDocument/2006/relationships/hyperlink" Target="https://meteor.aihw.gov.au/content/317350" TargetMode="External" Id="Reb9831ef78c34172" /><Relationship Type="http://schemas.openxmlformats.org/officeDocument/2006/relationships/hyperlink" Target="https://meteor.aihw.gov.au/RegistrationAuthority/1" TargetMode="External" Id="Rfeeaaf4dfcfd443c" /><Relationship Type="http://schemas.openxmlformats.org/officeDocument/2006/relationships/hyperlink" Target="https://meteor.aihw.gov.au/content/372123" TargetMode="External" Id="Rfd5bf996d7a54f89" /><Relationship Type="http://schemas.openxmlformats.org/officeDocument/2006/relationships/hyperlink" Target="https://meteor.aihw.gov.au/RegistrationAuthority/1" TargetMode="External" Id="Re069ab93bdf5446d" /><Relationship Type="http://schemas.openxmlformats.org/officeDocument/2006/relationships/hyperlink" Target="https://meteor.aihw.gov.au/content/386485" TargetMode="External" Id="R2a181aa80ad84f42" /><Relationship Type="http://schemas.openxmlformats.org/officeDocument/2006/relationships/hyperlink" Target="https://meteor.aihw.gov.au/RegistrationAuthority/1" TargetMode="External" Id="R569afb9bef0e4a94" /><Relationship Type="http://schemas.openxmlformats.org/officeDocument/2006/relationships/hyperlink" Target="https://meteor.aihw.gov.au/content/428708" TargetMode="External" Id="Rb9ede70f64014046" /><Relationship Type="http://schemas.openxmlformats.org/officeDocument/2006/relationships/hyperlink" Target="https://meteor.aihw.gov.au/RegistrationAuthority/1" TargetMode="External" Id="R1864a6887619416a" /><Relationship Type="http://schemas.openxmlformats.org/officeDocument/2006/relationships/hyperlink" Target="https://meteor.aihw.gov.au/content/461636" TargetMode="External" Id="R51a9b8ed7d324e1e" /><Relationship Type="http://schemas.openxmlformats.org/officeDocument/2006/relationships/hyperlink" Target="https://meteor.aihw.gov.au/RegistrationAuthority/1" TargetMode="External" Id="Rcf7212ea21244ca9" /><Relationship Type="http://schemas.openxmlformats.org/officeDocument/2006/relationships/hyperlink" Target="https://meteor.aihw.gov.au/content/461640" TargetMode="External" Id="Rf1d34eb9531641df" /><Relationship Type="http://schemas.openxmlformats.org/officeDocument/2006/relationships/hyperlink" Target="https://meteor.aihw.gov.au/RegistrationAuthority/1" TargetMode="External" Id="R52fe30c65875432d" /><Relationship Type="http://schemas.openxmlformats.org/officeDocument/2006/relationships/hyperlink" Target="https://meteor.aihw.gov.au/content/502689" TargetMode="External" Id="R6253e7cbd404497d" /><Relationship Type="http://schemas.openxmlformats.org/officeDocument/2006/relationships/hyperlink" Target="https://meteor.aihw.gov.au/content/501973" TargetMode="External" Id="R16b028e456fb4e12" /><Relationship Type="http://schemas.openxmlformats.org/officeDocument/2006/relationships/hyperlink" Target="https://meteor.aihw.gov.au/content/500887" TargetMode="External" Id="Rc92ece7a654a4ae9" /><Relationship Type="http://schemas.openxmlformats.org/officeDocument/2006/relationships/hyperlink" Target="https://meteor.aihw.gov.au/content/569749" TargetMode="External" Id="Rc0fa458ec06c4511" /><Relationship Type="http://schemas.openxmlformats.org/officeDocument/2006/relationships/hyperlink" Target="https://meteor.aihw.gov.au/RegistrationAuthority/16" TargetMode="External" Id="R285f96091e4b4720" /><Relationship Type="http://schemas.openxmlformats.org/officeDocument/2006/relationships/hyperlink" Target="https://meteor.aihw.gov.au/content/502689" TargetMode="External" Id="Rafc24b7a480446d2" /><Relationship Type="http://schemas.openxmlformats.org/officeDocument/2006/relationships/hyperlink" Target="https://meteor.aihw.gov.au/content/501973" TargetMode="External" Id="Re0f44fbceba7466f" /><Relationship Type="http://schemas.openxmlformats.org/officeDocument/2006/relationships/hyperlink" Target="https://meteor.aihw.gov.au/content/500887" TargetMode="External" Id="R9e2f0129e6b2466c" /><Relationship Type="http://schemas.openxmlformats.org/officeDocument/2006/relationships/hyperlink" Target="https://meteor.aihw.gov.au/content/386548" TargetMode="External" Id="R45f8b3dac4ad435d" /></Relationships>
</file>

<file path=word/_rels/header1.xml.rels>&#65279;<?xml version="1.0" encoding="utf-8"?><Relationships xmlns="http://schemas.openxmlformats.org/package/2006/relationships"><Relationship Type="http://schemas.openxmlformats.org/officeDocument/2006/relationships/image" Target="/media/image.png" Id="Rdcb1cc4958d04038" /></Relationships>
</file>