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39eb470b7cf4d53" /></Relationships>
</file>

<file path=word/document.xml><?xml version="1.0" encoding="utf-8"?>
<w:document xmlns:r="http://schemas.openxmlformats.org/officeDocument/2006/relationships" xmlns:w="http://schemas.openxmlformats.org/wordprocessingml/2006/main">
  <w:body>
    <w:p>
      <w:pPr>
        <w:pStyle w:val="Title"/>
      </w:pPr>
      <w:r>
        <w:t>Person—chronic health evaluation indicator, comorbidity code AAAAAA</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Person—chronic health evaluation indicator, comorbidity code AAAAAA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Chronic health evaluation indicator (based on 6 comorbidities)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322305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743510a28ee4b7e">
              <w:r>
                <w:rPr>
                  <w:rStyle w:val="Hyperlink"/>
                  <w:color w:val="244061"/>
                </w:rPr>
                <w:t xml:space="preserve">Health</w:t>
              </w:r>
            </w:hyperlink>
            <w:r>
              <w:rPr>
                <w:rStyle w:val="row-content"/>
                <w:color w:val="244061"/>
              </w:rPr>
              <w:t xml:space="preserve">, Recorded 14/07/2006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Chronic health evaluation of a person related to evidence of organ insufficiency and/or immunodeficiency state represented by a set of six comorbidity indicators.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Adult intensive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5c399b8d68847bb">
              <w:r>
                <w:rPr>
                  <w:rStyle w:val="Hyperlink"/>
                </w:rPr>
                <w:t xml:space="preserve">Person—chronic health evaluation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8cbf814253ab459e">
              <w:r>
                <w:rPr>
                  <w:rStyle w:val="Hyperlink"/>
                </w:rPr>
                <w:t xml:space="preserve">Chronic conditions comorbidity code AAAAAA</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AAAAAA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each of the following evaluated clinical states:</w:t>
            </w:r>
          </w:p>
          <w:p>
            <w:pPr>
              <w:spacing w:after="160"/>
            </w:pPr>
            <w:r>
              <w:rPr>
                <w:rStyle w:val="row-content-rich-text"/>
              </w:rPr>
              <w:t xml:space="preserve">Code Y     Comorbidity exists</w:t>
            </w:r>
          </w:p>
          <w:p>
            <w:pPr>
              <w:spacing w:after="160"/>
            </w:pPr>
            <w:r>
              <w:rPr>
                <w:rStyle w:val="row-content-rich-text"/>
              </w:rPr>
              <w:t xml:space="preserve">Code N     Comorbidity does not exist</w:t>
            </w:r>
          </w:p>
          <w:p>
            <w:pPr>
              <w:spacing w:after="160"/>
            </w:pPr>
            <w:r>
              <w:rPr>
                <w:rStyle w:val="row-content-rich-text"/>
              </w:rPr>
              <w:t xml:space="preserve">Comorbidities must be recorded in the following order.</w:t>
            </w:r>
          </w:p>
          <w:p>
            <w:pPr>
              <w:pStyle w:val="ListParagraph"/>
              <w:numPr>
                <w:ilvl w:val="0"/>
                <w:numId w:val="2"/>
              </w:numPr>
            </w:pPr>
            <w:r>
              <w:rPr>
                <w:rStyle w:val="row-content-rich-text"/>
              </w:rPr>
              <w:t xml:space="preserve">Respiratory:  Chronic restrictive, obstructive, or vascular respiratory disease resulting in severe exercise restriction i.e., unable to climb stairs or perform household duties; or documented chronic hypoxia, hypercapnia, secondary polycythemia, severe pulmonary hypertension (&gt;40mmHg), or respiratory dependency.</w:t>
            </w:r>
          </w:p>
          <w:p>
            <w:pPr>
              <w:pStyle w:val="ListParagraph"/>
              <w:numPr>
                <w:ilvl w:val="0"/>
                <w:numId w:val="2"/>
              </w:numPr>
            </w:pPr>
            <w:r>
              <w:rPr>
                <w:rStyle w:val="row-content-rich-text"/>
              </w:rPr>
              <w:t xml:space="preserve">Cardiovascular:  New York Heart Association Class IV i.e. angina or symptoms at rest or on minimal exertion e.g. getting dressed or self-care.</w:t>
            </w:r>
          </w:p>
          <w:p>
            <w:pPr>
              <w:pStyle w:val="ListParagraph"/>
              <w:numPr>
                <w:ilvl w:val="0"/>
                <w:numId w:val="2"/>
              </w:numPr>
            </w:pPr>
            <w:r>
              <w:rPr>
                <w:rStyle w:val="row-content-rich-text"/>
              </w:rPr>
              <w:t xml:space="preserve">Liver:  Biopsy proven cirrhosis and documented portal hypertension: episodes of past upper GI bleeding attributed to portal hypertension; or prior episodes of hepatic failure/encephalopathy/coma.</w:t>
            </w:r>
          </w:p>
          <w:p>
            <w:pPr>
              <w:pStyle w:val="ListParagraph"/>
              <w:numPr>
                <w:ilvl w:val="0"/>
                <w:numId w:val="2"/>
              </w:numPr>
            </w:pPr>
            <w:r>
              <w:rPr>
                <w:rStyle w:val="row-content-rich-text"/>
              </w:rPr>
              <w:t xml:space="preserve">Renal:  Receiving chronic dialysis.</w:t>
            </w:r>
          </w:p>
          <w:p>
            <w:pPr>
              <w:pStyle w:val="ListParagraph"/>
              <w:numPr>
                <w:ilvl w:val="0"/>
                <w:numId w:val="2"/>
              </w:numPr>
            </w:pPr>
            <w:r>
              <w:rPr>
                <w:rStyle w:val="row-content-rich-text"/>
              </w:rPr>
              <w:t xml:space="preserve">Immune suppressive disease: The patient has a disease that is sufficiently advanced to suppress resistance to infection. e.g., leukaemia, lymphoma, AIDS.</w:t>
            </w:r>
          </w:p>
          <w:p>
            <w:pPr>
              <w:pStyle w:val="ListParagraph"/>
              <w:numPr>
                <w:ilvl w:val="0"/>
                <w:numId w:val="2"/>
              </w:numPr>
            </w:pPr>
            <w:r>
              <w:rPr>
                <w:rStyle w:val="row-content-rich-text"/>
              </w:rPr>
              <w:t xml:space="preserve">Immunosuppressive therapy: The patient has received therapy that suppresses resistance to infection e.g. immunosuppression, chemotherapy, radiation, long term or recent high dose steroids.</w:t>
            </w:r>
          </w:p>
          <w:p>
            <w:pPr>
              <w:spacing w:after="160"/>
            </w:pPr>
            <w:r>
              <w:rPr>
                <w:rStyle w:val="row-content-rich-text"/>
              </w:rPr>
              <w:t xml:space="preserve"> </w:t>
            </w:r>
          </w:p>
          <w:p>
            <w:pPr>
              <w:spacing w:after="160"/>
            </w:pPr>
            <w:r>
              <w:rPr>
                <w:rStyle w:val="row-content-rich-text"/>
              </w:rPr>
              <w:t xml:space="preserve">Examples: </w:t>
            </w:r>
          </w:p>
          <w:p>
            <w:pPr>
              <w:spacing w:after="160"/>
            </w:pPr>
            <w:r>
              <w:rPr>
                <w:rStyle w:val="row-content-rich-text"/>
              </w:rPr>
              <w:t xml:space="preserve"> </w:t>
            </w:r>
          </w:p>
          <w:p>
            <w:pPr>
              <w:spacing w:after="160"/>
            </w:pPr>
            <w:r>
              <w:rPr>
                <w:rStyle w:val="row-content-rich-text"/>
              </w:rPr>
              <w:t xml:space="preserve"> </w:t>
            </w:r>
          </w:p>
          <w:tbl>
            <w:tblPr>
              <w:tblStyle w:val="TableGrid"/>
              <w:tblW w:w="5000" w:type="pct"/>
              <w:tblLayout w:type="autofit"/>
            </w:tblPr>
            <w:tblGrid>
              <w:gridCol/>
              <w:gridCol/>
              <w:gridCol/>
              <w:gridCol/>
              <w:gridCol/>
              <w:gridCol/>
            </w:tblGrid>
            <w:tr>
              <w:trPr/>
              <w:tc>
                <w:tcPr>
                  <w:tcW w:w="700" w:type="pct"/>
                  <w:vAlign w:val="top"/>
                </w:tcPr>
                <w:p>
                  <w:pPr/>
                  <w:r>
                    <w:rPr>
                      <w:rStyle w:val="row-content-rich-text"/>
                    </w:rPr>
                    <w:t xml:space="preserve"> </w:t>
                  </w:r>
                  <w:r>
                    <w:rPr>
                      <w:rStyle w:val="row-content-rich-text"/>
                    </w:rPr>
                    <w:t xml:space="preserve">Respiratory</w:t>
                  </w:r>
                </w:p>
              </w:tc>
              <w:tc>
                <w:tcPr>
                  <w:tcW w:w="800" w:type="pct"/>
                  <w:vAlign w:val="top"/>
                </w:tcPr>
                <w:p>
                  <w:r>
                    <w:t xml:space="preserve">Cardio-vascular</w:t>
                  </w:r>
                </w:p>
              </w:tc>
              <w:tc>
                <w:tcPr>
                  <w:tcW w:w="350" w:type="pct"/>
                  <w:vAlign w:val="top"/>
                </w:tcPr>
                <w:p>
                  <w:r>
                    <w:t xml:space="preserve">Liver</w:t>
                  </w:r>
                </w:p>
              </w:tc>
              <w:tc>
                <w:tcPr>
                  <w:tcW w:w="350" w:type="pct"/>
                  <w:vAlign w:val="top"/>
                </w:tcPr>
                <w:p>
                  <w:r>
                    <w:t xml:space="preserve">Renal</w:t>
                  </w:r>
                </w:p>
              </w:tc>
              <w:tc>
                <w:tcPr>
                  <w:tcW w:w="1300" w:type="pct"/>
                  <w:vAlign w:val="top"/>
                </w:tcPr>
                <w:p>
                  <w:r>
                    <w:t xml:space="preserve">Immuno-</w:t>
                  </w:r>
                  <w:r>
                    <w:br/>
                  </w:r>
                  <w:r>
                    <w:t xml:space="preserve">suppressive</w:t>
                  </w:r>
                  <w:r>
                    <w:br/>
                  </w:r>
                  <w:r>
                    <w:t xml:space="preserve">disease</w:t>
                  </w:r>
                </w:p>
              </w:tc>
              <w:tc>
                <w:tcPr>
                  <w:tcW w:w="1400" w:type="pct"/>
                  <w:vAlign w:val="top"/>
                </w:tcPr>
                <w:p>
                  <w:r>
                    <w:t xml:space="preserve">Immuno-</w:t>
                  </w:r>
                  <w:r>
                    <w:br/>
                  </w:r>
                  <w:r>
                    <w:t xml:space="preserve">suppressive</w:t>
                  </w:r>
                  <w:r>
                    <w:br/>
                  </w:r>
                  <w:r>
                    <w:t xml:space="preserve">treatment</w:t>
                  </w:r>
                </w:p>
              </w:tc>
            </w:tr>
            <w:tr>
              <w:trPr/>
              <w:tc>
                <w:tcPr>
                  <w:tcW w:w="700" w:type="pct"/>
                  <w:vAlign w:val="top"/>
                </w:tcPr>
                <w:p>
                  <w:r>
                    <w:t xml:space="preserve">Y/N</w:t>
                  </w:r>
                </w:p>
              </w:tc>
              <w:tc>
                <w:tcPr>
                  <w:tcW w:w="800" w:type="pct"/>
                  <w:vAlign w:val="top"/>
                </w:tcPr>
                <w:p>
                  <w:r>
                    <w:t xml:space="preserve">Y/N</w:t>
                  </w:r>
                </w:p>
              </w:tc>
              <w:tc>
                <w:tcPr>
                  <w:tcW w:w="350" w:type="pct"/>
                  <w:vAlign w:val="top"/>
                </w:tcPr>
                <w:p>
                  <w:r>
                    <w:t xml:space="preserve">Y/N</w:t>
                  </w:r>
                </w:p>
              </w:tc>
              <w:tc>
                <w:tcPr>
                  <w:tcW w:w="350" w:type="pct"/>
                  <w:vAlign w:val="top"/>
                </w:tcPr>
                <w:p>
                  <w:r>
                    <w:t xml:space="preserve">Y/N</w:t>
                  </w:r>
                </w:p>
              </w:tc>
              <w:tc>
                <w:tcPr>
                  <w:tcW w:w="1300" w:type="pct"/>
                  <w:vAlign w:val="top"/>
                </w:tcPr>
                <w:p>
                  <w:r>
                    <w:t xml:space="preserve">Y/N</w:t>
                  </w:r>
                </w:p>
              </w:tc>
              <w:tc>
                <w:tcPr>
                  <w:tcW w:w="1400" w:type="pct"/>
                  <w:vAlign w:val="top"/>
                </w:tcPr>
                <w:p>
                  <w:r>
                    <w:t xml:space="preserve">Y/N</w:t>
                  </w:r>
                </w:p>
              </w:tc>
            </w:tr>
          </w:tbl>
          <w:p>
            <w:r>
              <w:t xml:space="preserve"> </w:t>
            </w:r>
          </w:p>
          <w:p>
            <w:r>
              <w:t xml:space="preserve"> </w:t>
            </w:r>
          </w:p>
          <w:tbl>
            <w:tblPr>
              <w:tblStyle w:val="TableGrid"/>
              <w:tblW w:w="5000" w:type="pct"/>
              <w:tblLayout w:type="autofit"/>
            </w:tblPr>
            <w:tblGrid>
              <w:gridCol/>
              <w:gridCol/>
            </w:tblGrid>
            <w:tr>
              <w:trPr/>
              <w:tc>
                <w:tcPr>
                  <w:tcW w:w="1000" w:type="pct"/>
                  <w:vAlign w:val="top"/>
                </w:tcPr>
                <w:p>
                  <w:r>
                    <w:t xml:space="preserve"> </w:t>
                  </w:r>
                  <w:r>
                    <w:t xml:space="preserve">Code</w:t>
                  </w:r>
                </w:p>
              </w:tc>
              <w:tc>
                <w:tcPr>
                  <w:tcW w:w="4000" w:type="pct"/>
                  <w:vAlign w:val="top"/>
                </w:tcPr>
                <w:p>
                  <w:r>
                    <w:t xml:space="preserve">Code represents</w:t>
                  </w:r>
                </w:p>
              </w:tc>
            </w:tr>
            <w:tr>
              <w:trPr/>
              <w:tc>
                <w:tcPr>
                  <w:tcW w:w="1000" w:type="pct"/>
                  <w:vAlign w:val="top"/>
                </w:tcPr>
                <w:p>
                  <w:r>
                    <w:t xml:space="preserve">YNNNNN </w:t>
                  </w:r>
                </w:p>
              </w:tc>
              <w:tc>
                <w:tcPr>
                  <w:tcW w:w="4000" w:type="pct"/>
                  <w:vAlign w:val="top"/>
                </w:tcPr>
                <w:p>
                  <w:r>
                    <w:t xml:space="preserve">Respiratory comorbidity exists. Cardiovascular, liver, renal, immune-</w:t>
                  </w:r>
                  <w:r>
                    <w:br/>
                  </w:r>
                  <w:r>
                    <w:t xml:space="preserve">suppressive disease and immunosuppressive therapy do not exist.</w:t>
                  </w:r>
                </w:p>
              </w:tc>
            </w:tr>
            <w:tr>
              <w:trPr/>
              <w:tc>
                <w:tcPr>
                  <w:tcW w:w="1000" w:type="pct"/>
                  <w:vAlign w:val="top"/>
                </w:tcPr>
                <w:p>
                  <w:r>
                    <w:t xml:space="preserve">NYNYNN</w:t>
                  </w:r>
                </w:p>
              </w:tc>
              <w:tc>
                <w:tcPr>
                  <w:tcW w:w="4000" w:type="pct"/>
                  <w:vAlign w:val="top"/>
                </w:tcPr>
                <w:p>
                  <w:r>
                    <w:t xml:space="preserve">Cardiovascular and renal comorbidities exist. Respiratory,liver, immune-</w:t>
                  </w:r>
                  <w:r>
                    <w:br/>
                  </w:r>
                  <w:r>
                    <w:t xml:space="preserve">suppressive disease and immunosuppressive therapy do not exist.</w:t>
                  </w:r>
                </w:p>
              </w:tc>
            </w:tr>
          </w:tbl>
          <w:p>
            <w:r>
              <w:t xml:space="preserve"> </w:t>
            </w:r>
          </w:p>
        </w:tc>
      </w:tr>
    </w:tbl>
    <w:p/>
    <w:tbl>
      <w:tblPr>
        <w:tblStyle w:val="TableGrid"/>
        <w:tblW w:w="0" w:type="auto"/>
      </w:tblPr>
    </w:tbl>
    <w:p/>
    <w:tbl>
      <w:tblPr>
        <w:tblStyle w:val="TableGrid"/>
        <w:tblW w:w="0" w:type="auto"/>
      </w:tblPr>
    </w:tbl>
    <w:p>
      <w:r>
        <w:br/>
      </w:r>
    </w:p>
    <w:sectPr>
      <w:footerReference xmlns:r="http://schemas.openxmlformats.org/officeDocument/2006/relationships" w:type="default" r:id="Rd4ec9f8c97f5403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322305</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20be2ab0d3e4fc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4ec9f8c97f54031" /><Relationship Type="http://schemas.openxmlformats.org/officeDocument/2006/relationships/header" Target="/word/header1.xml" Id="Rbb89b65b80604b05" /><Relationship Type="http://schemas.openxmlformats.org/officeDocument/2006/relationships/settings" Target="/word/settings.xml" Id="R3c25911d2a914f76" /><Relationship Type="http://schemas.openxmlformats.org/officeDocument/2006/relationships/styles" Target="/word/styles.xml" Id="R899b1927dda544c7" /><Relationship Type="http://schemas.openxmlformats.org/officeDocument/2006/relationships/numbering" Target="/word/numbering.xml" Id="R0339e2e306364014" /><Relationship Type="http://schemas.openxmlformats.org/officeDocument/2006/relationships/hyperlink" Target="https://meteor.aihw.gov.au/RegistrationAuthority/12" TargetMode="External" Id="R1743510a28ee4b7e" /><Relationship Type="http://schemas.openxmlformats.org/officeDocument/2006/relationships/hyperlink" Target="https://meteor.aihw.gov.au/content/320887" TargetMode="External" Id="Re5c399b8d68847bb" /><Relationship Type="http://schemas.openxmlformats.org/officeDocument/2006/relationships/hyperlink" Target="https://meteor.aihw.gov.au/content/319230" TargetMode="External" Id="R8cbf814253ab459e" /></Relationships>
</file>

<file path=word/_rels/header1.xml.rels>&#65279;<?xml version="1.0" encoding="utf-8"?><Relationships xmlns="http://schemas.openxmlformats.org/package/2006/relationships"><Relationship Type="http://schemas.openxmlformats.org/officeDocument/2006/relationships/image" Target="/media/image.png" Id="Rf20be2ab0d3e4fcb" /></Relationships>
</file>