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754583c42e4a4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 total people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 total people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service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80a0b0f14409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7e8a445614c472f">
              <w:r>
                <w:rPr>
                  <w:rStyle w:val="Hyperlink"/>
                  <w:color w:val="244061"/>
                </w:rPr>
                <w:t xml:space="preserve">Disability</w:t>
              </w:r>
            </w:hyperlink>
            <w:r>
              <w:rPr>
                <w:rStyle w:val="row-content"/>
                <w:color w:val="244061"/>
              </w:rPr>
              <w:t xml:space="preserve">, Standard 07/10/2014</w:t>
            </w:r>
          </w:p>
          <w:p>
            <w:pPr>
              <w:spacing w:before="0" w:after="0"/>
            </w:pPr>
            <w:hyperlink w:history="true" r:id="Re525855f77c14bc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receiving services or care from an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8104c0355a4ddb">
              <w:r>
                <w:rPr>
                  <w:rStyle w:val="Hyperlink"/>
                </w:rPr>
                <w:t xml:space="preserve">Service provider organisation—number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8991eaf6ad4815">
              <w:r>
                <w:rPr>
                  <w:rStyle w:val="Hyperlink"/>
                </w:rPr>
                <w:t xml:space="preserve">Total people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client receiving a service during the reporting period should be counted only once, regardless of the number of times they accessed the service in that time period.</w:t>
            </w:r>
          </w:p>
          <w:p>
            <w:pPr/>
            <w:r>
              <w:rPr>
                <w:rStyle w:val="row-content-rich-text"/>
              </w:rPr>
              <w:t xml:space="preserve">This data item refers to the number of clients receiving services, not those 'on the books', 'on waiting lists', number of 'beds' or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needed to provide a basic count of people accessing services, and will relate to population data from the Australian Bureau of Statistics (ABS) to help in assessing met and unmet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CSTDA NMDS Network.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3380fe66f1454d">
              <w:r>
                <w:rPr>
                  <w:rStyle w:val="Hyperlink"/>
                </w:rPr>
                <w:t xml:space="preserve"> Bringing them Home/Link Up Counselling Program client numbers cluster</w:t>
              </w:r>
            </w:hyperlink>
          </w:p>
          <w:p>
            <w:pPr>
              <w:spacing w:before="0" w:after="0"/>
            </w:pPr>
            <w:r>
              <w:rPr>
                <w:rStyle w:val="row-content"/>
                <w:color w:val="244061"/>
              </w:rPr>
              <w:t xml:space="preserve">       </w:t>
            </w:r>
            <w:hyperlink w:history="true" r:id="R413d907a8b004f3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Bringing Them Home or Link Up Counselling Program clients.</w:t>
            </w:r>
          </w:p>
          <w:p>
            <w:r>
              <w:br/>
            </w:r>
            <w:r>
              <w:br/>
            </w:r>
            <w:hyperlink w:history="true" r:id="R6aa27a8f7be04070">
              <w:r>
                <w:rPr>
                  <w:rStyle w:val="Hyperlink"/>
                </w:rPr>
                <w:t xml:space="preserve">Aboriginal and Torres Strait Islander primary health-care services client numbers cluster</w:t>
              </w:r>
            </w:hyperlink>
          </w:p>
          <w:p>
            <w:pPr>
              <w:spacing w:before="0" w:after="0"/>
            </w:pPr>
            <w:r>
              <w:rPr>
                <w:rStyle w:val="row-content"/>
                <w:color w:val="244061"/>
              </w:rPr>
              <w:t xml:space="preserve">       </w:t>
            </w:r>
            <w:hyperlink w:history="true" r:id="R5679c927e075401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primary health-care service's clients.</w:t>
            </w:r>
          </w:p>
          <w:p>
            <w:r>
              <w:br/>
            </w:r>
            <w:r>
              <w:br/>
            </w:r>
            <w:hyperlink w:history="true" r:id="R96e5f24aa5ff40b9">
              <w:r>
                <w:rPr>
                  <w:rStyle w:val="Hyperlink"/>
                </w:rPr>
                <w:t xml:space="preserve">Aboriginal and Torres Strait Islander standalone substance use service client numbers cluster</w:t>
              </w:r>
            </w:hyperlink>
          </w:p>
          <w:p>
            <w:pPr>
              <w:spacing w:before="0" w:after="0"/>
            </w:pPr>
            <w:r>
              <w:rPr>
                <w:rStyle w:val="row-content"/>
                <w:color w:val="244061"/>
              </w:rPr>
              <w:t xml:space="preserve">       </w:t>
            </w:r>
            <w:hyperlink w:history="true" r:id="R1726be29f0714286">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e227109edef44dfe">
              <w:r>
                <w:rPr>
                  <w:rStyle w:val="Hyperlink"/>
                </w:rPr>
                <w:t xml:space="preserve">Aboriginal and Torres Strait Islander standalone substance use service non-residential/follow-up/aftercare client numbers cluster</w:t>
              </w:r>
            </w:hyperlink>
          </w:p>
          <w:p>
            <w:pPr>
              <w:spacing w:before="0" w:after="0"/>
            </w:pPr>
            <w:r>
              <w:rPr>
                <w:rStyle w:val="row-content"/>
                <w:color w:val="244061"/>
              </w:rPr>
              <w:t xml:space="preserve">       </w:t>
            </w:r>
            <w:hyperlink w:history="true" r:id="Rc30e6835648c4b4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bdff2f05a63e4b5b">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78bc80b92f62459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cab859b22504484d">
              <w:r>
                <w:rPr>
                  <w:rStyle w:val="Hyperlink"/>
                </w:rPr>
                <w:t xml:space="preserve">Aboriginal and Torres Strait Islander standalone substance use service residential treatment/rehabilitation length of stay cluster</w:t>
              </w:r>
            </w:hyperlink>
          </w:p>
          <w:p>
            <w:pPr>
              <w:spacing w:before="0" w:after="0"/>
            </w:pPr>
            <w:r>
              <w:rPr>
                <w:rStyle w:val="row-content"/>
                <w:color w:val="244061"/>
              </w:rPr>
              <w:t xml:space="preserve">       </w:t>
            </w:r>
            <w:hyperlink w:history="true" r:id="R3491b33ee1bb480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df5e37291b1a4499">
              <w:r>
                <w:rPr>
                  <w:rStyle w:val="Hyperlink"/>
                </w:rPr>
                <w:t xml:space="preserve">Aboriginal and Torres Strait Islander standalone substance use service sobering-up/residential respite/short-term care client numbers cluster</w:t>
              </w:r>
            </w:hyperlink>
          </w:p>
          <w:p>
            <w:pPr>
              <w:spacing w:before="0" w:after="0"/>
            </w:pPr>
            <w:r>
              <w:rPr>
                <w:rStyle w:val="row-content"/>
                <w:color w:val="244061"/>
              </w:rPr>
              <w:t xml:space="preserve">       </w:t>
            </w:r>
            <w:hyperlink w:history="true" r:id="Rb240f5fd3d044c3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sobering-up/residential respite/short-term care clients.</w:t>
            </w:r>
          </w:p>
          <w:p>
            <w:r>
              <w:br/>
            </w:r>
            <w:r>
              <w:br/>
            </w:r>
            <w:hyperlink w:history="true" r:id="R0771cacd297a474f">
              <w:r>
                <w:rPr>
                  <w:rStyle w:val="Hyperlink"/>
                </w:rPr>
                <w:t xml:space="preserve">Aboriginal and Torres Strait Islander standalone substance use services client numbers cluster</w:t>
              </w:r>
            </w:hyperlink>
          </w:p>
          <w:p>
            <w:pPr>
              <w:spacing w:before="0" w:after="0"/>
            </w:pPr>
            <w:r>
              <w:rPr>
                <w:rStyle w:val="row-content"/>
                <w:color w:val="244061"/>
              </w:rPr>
              <w:t xml:space="preserve">       </w:t>
            </w:r>
            <w:hyperlink w:history="true" r:id="R6e8eb5a4345a4b8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 clients.</w:t>
            </w:r>
          </w:p>
          <w:p>
            <w:r>
              <w:br/>
            </w:r>
            <w:r>
              <w:br/>
            </w:r>
            <w:hyperlink w:history="true" r:id="R2e2c94afff5549c9">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4158f1c3d2c84d3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non-residential/follow-up/aftercare clients.</w:t>
            </w:r>
          </w:p>
          <w:p>
            <w:r>
              <w:br/>
            </w:r>
            <w:r>
              <w:br/>
            </w:r>
            <w:hyperlink w:history="true" r:id="R5c07424a15254bfa">
              <w:r>
                <w:rPr>
                  <w:rStyle w:val="Hyperlink"/>
                </w:rPr>
                <w:t xml:space="preserve">Aboriginal and Torres Strait Islander standalone substance use services residential treatment/rehabilitation client numbers cluster</w:t>
              </w:r>
            </w:hyperlink>
          </w:p>
          <w:p>
            <w:pPr>
              <w:spacing w:before="0" w:after="0"/>
            </w:pPr>
            <w:r>
              <w:rPr>
                <w:rStyle w:val="row-content"/>
                <w:color w:val="244061"/>
              </w:rPr>
              <w:t xml:space="preserve">       </w:t>
            </w:r>
            <w:hyperlink w:history="true" r:id="R0b05ae2e5266499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service's residential treatment/rehabilitation clients.</w:t>
            </w:r>
          </w:p>
          <w:p>
            <w:r>
              <w:br/>
            </w:r>
            <w:r>
              <w:br/>
            </w:r>
            <w:hyperlink w:history="true" r:id="Raec16aacff6b4cf5">
              <w:r>
                <w:rPr>
                  <w:rStyle w:val="Hyperlink"/>
                </w:rPr>
                <w:t xml:space="preserve">Aboriginal and Torres Strait Islander standalone substance use services residential treatment/rehabilitation length of stay cluster</w:t>
              </w:r>
            </w:hyperlink>
          </w:p>
          <w:p>
            <w:pPr>
              <w:spacing w:before="0" w:after="0"/>
            </w:pPr>
            <w:r>
              <w:rPr>
                <w:rStyle w:val="row-content"/>
                <w:color w:val="244061"/>
              </w:rPr>
              <w:t xml:space="preserve">       </w:t>
            </w:r>
            <w:hyperlink w:history="true" r:id="R31f0561976ff457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26/05/2014</w:t>
            </w:r>
            <w:r>
              <w:br/>
            </w:r>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24ffaf2a22fc4119">
              <w:r>
                <w:rPr>
                  <w:rStyle w:val="Hyperlink"/>
                </w:rPr>
                <w:t xml:space="preserve">Aboriginal and Torres Strait Islander standalone substance use services residential treatment/rehabilitation length of stay cluster </w:t>
              </w:r>
            </w:hyperlink>
          </w:p>
          <w:p>
            <w:pPr>
              <w:spacing w:before="0" w:after="0"/>
            </w:pPr>
            <w:r>
              <w:rPr>
                <w:rStyle w:val="row-content"/>
                <w:color w:val="244061"/>
              </w:rPr>
              <w:t xml:space="preserve">       </w:t>
            </w:r>
            <w:hyperlink w:history="true" r:id="Rc0fb22c7361b4f6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number of Aboriginal and Torres Strait Islander standalone substance use residential treatment/rehabilitation clients.</w:t>
            </w:r>
          </w:p>
          <w:p>
            <w:r>
              <w:br/>
            </w:r>
            <w:r>
              <w:br/>
            </w:r>
            <w:hyperlink w:history="true" r:id="R365c65c028bb4f0b">
              <w:r>
                <w:rPr>
                  <w:rStyle w:val="Hyperlink"/>
                </w:rPr>
                <w:t xml:space="preserve">Aboriginal and Torres Strait Islander standalone substance use services sobering-up/residential respite/short-term care client numbers cluster</w:t>
              </w:r>
            </w:hyperlink>
          </w:p>
          <w:p>
            <w:pPr>
              <w:spacing w:before="0" w:after="0"/>
            </w:pPr>
            <w:r>
              <w:rPr>
                <w:rStyle w:val="row-content"/>
                <w:color w:val="244061"/>
              </w:rPr>
              <w:t xml:space="preserve">       </w:t>
            </w:r>
            <w:hyperlink w:history="true" r:id="R25d185100ea34b9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Aboriginal and Torres Strait Islander standalone substance use service's sobering-up/residential respite/short-term care clients.</w:t>
            </w:r>
          </w:p>
          <w:p>
            <w:r>
              <w:br/>
            </w:r>
            <w:r>
              <w:br/>
            </w:r>
            <w:hyperlink w:history="true" r:id="R70fe66d6cc3c4d8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25ebf511999f4e84">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ed1eb4857e374ec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dfbc6d3f83004cda">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In the CSTDA NMDS, this data element refers to the number of service users receiving CSTDA-funded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p>
            <w:r>
              <w:br/>
            </w:r>
            <w:r>
              <w:br/>
            </w:r>
            <w:hyperlink w:history="true" r:id="R218c9b8089d04711">
              <w:r>
                <w:rPr>
                  <w:rStyle w:val="Hyperlink"/>
                </w:rPr>
                <w:t xml:space="preserve">Disability Services NMDS 2009-10</w:t>
              </w:r>
            </w:hyperlink>
          </w:p>
          <w:p>
            <w:pPr>
              <w:spacing w:before="0" w:after="0"/>
            </w:pPr>
            <w:r>
              <w:rPr>
                <w:rStyle w:val="row-content"/>
                <w:color w:val="244061"/>
              </w:rPr>
              <w:t xml:space="preserve">       </w:t>
            </w:r>
            <w:hyperlink w:history="true" r:id="R368c5f5d4082487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c790e3169a064c1f">
              <w:r>
                <w:rPr>
                  <w:rStyle w:val="Hyperlink"/>
                </w:rPr>
                <w:t xml:space="preserve">Disability Services NMDS 2010-11</w:t>
              </w:r>
            </w:hyperlink>
          </w:p>
          <w:p>
            <w:pPr>
              <w:spacing w:before="0" w:after="0"/>
            </w:pPr>
            <w:r>
              <w:rPr>
                <w:rStyle w:val="row-content"/>
                <w:color w:val="244061"/>
              </w:rPr>
              <w:t xml:space="preserve">       </w:t>
            </w:r>
            <w:hyperlink w:history="true" r:id="R3565330d938b436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e2da8070261e437b">
              <w:r>
                <w:rPr>
                  <w:rStyle w:val="Hyperlink"/>
                </w:rPr>
                <w:t xml:space="preserve">Disability Services NMDS 2011-12</w:t>
              </w:r>
            </w:hyperlink>
          </w:p>
          <w:p>
            <w:pPr>
              <w:spacing w:before="0" w:after="0"/>
            </w:pPr>
            <w:r>
              <w:rPr>
                <w:rStyle w:val="row-content"/>
                <w:color w:val="244061"/>
              </w:rPr>
              <w:t xml:space="preserve">       </w:t>
            </w:r>
            <w:hyperlink w:history="true" r:id="Ra1d5042255054df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DS NMDS, this data element refers to the number of service users receiving NDA-funded services of a particular service type.</w:t>
            </w:r>
          </w:p>
          <w:p>
            <w:r>
              <w:rPr>
                <w:rStyle w:val="row-content"/>
              </w:rPr>
              <w:t xml:space="preserve">The number of people who received a service during the whole reporting period is required, not just those who received a service in a reference week.</w:t>
            </w:r>
          </w:p>
          <w:p>
            <w:r>
              <w:rPr>
                <w:rStyle w:val="row-content"/>
              </w:rP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count the following:</w:t>
            </w:r>
          </w:p>
          <w:p>
            <w:r>
              <w:rPr>
                <w:rStyle w:val="row-content"/>
              </w:rPr>
              <w:t xml:space="preserve">6.01 (Advocacy) – number of people who have received advocacy services in the reporting period.</w:t>
            </w:r>
          </w:p>
          <w:p>
            <w:r>
              <w:rPr>
                <w:rStyle w:val="row-content"/>
              </w:rPr>
              <w:t xml:space="preserve">6.02 (Information/referral) – number of people making a request for information or referral.</w:t>
            </w:r>
          </w:p>
          <w:p>
            <w:r>
              <w:rPr>
                <w:rStyle w:val="row-content"/>
              </w:rPr>
              <w:t xml:space="preserve">6.03 (Combined information/advocacy) – as for 6.01 and 6.02.</w:t>
            </w:r>
          </w:p>
          <w:p>
            <w:r>
              <w:rPr>
                <w:rStyle w:val="row-content"/>
              </w:rPr>
              <w:t xml:space="preserve">6.04 (Mutual support/self-help groups) – number of people attending group sessions (i.e. if an individual attends a group session every Wednesday in the reporting period, the person should only be counted once for the reporting period.).</w:t>
            </w:r>
          </w:p>
          <w:p>
            <w:r>
              <w:rPr>
                <w:rStyle w:val="row-content"/>
              </w:rPr>
              <w:t xml:space="preserve">6.05 (Alternative formats of communication) – estimated number of people accessing the output from the service.</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p>
            <w:r>
              <w:br/>
            </w:r>
            <w:r>
              <w:br/>
            </w:r>
            <w:hyperlink w:history="true" r:id="R651efafa6c0d4542">
              <w:r>
                <w:rPr>
                  <w:rStyle w:val="Hyperlink"/>
                </w:rPr>
                <w:t xml:space="preserve">Disability Services NMDS 2012-14</w:t>
              </w:r>
            </w:hyperlink>
          </w:p>
          <w:p>
            <w:pPr>
              <w:spacing w:before="0" w:after="0"/>
            </w:pPr>
            <w:r>
              <w:rPr>
                <w:rStyle w:val="row-content"/>
                <w:color w:val="244061"/>
              </w:rPr>
              <w:t xml:space="preserve">       </w:t>
            </w:r>
            <w:hyperlink w:history="true" r:id="Rd8775d72de014df9">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is collected for each </w:t>
            </w:r>
            <w:hyperlink w:history="true" r:id="Re83deea16c9f4e08">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84fac73b57ba4586">
              <w:r>
                <w:rPr>
                  <w:rStyle w:val="Hyperlink"/>
                </w:rPr>
                <w:t xml:space="preserve">service users</w:t>
              </w:r>
            </w:hyperlink>
            <w:r>
              <w:rPr>
                <w:rStyle w:val="row-content"/>
              </w:rPr>
              <w:t xml:space="preserve"> receiving NDA-funded services of a particular </w:t>
            </w:r>
            <w:hyperlink w:history="true" r:id="R98f635aa24004e47">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2"/>
              </w:numPr>
            </w:pPr>
            <w:r>
              <w:rPr>
                <w:rStyle w:val="row-content"/>
              </w:rPr>
              <w:t xml:space="preserve">6.01 (Advocacy)—number of people who have received advocacy services in the reporting period.</w:t>
            </w:r>
          </w:p>
          <w:p>
            <w:pPr>
              <w:pStyle w:val="ListParagraph"/>
              <w:numPr>
                <w:ilvl w:val="0"/>
                <w:numId w:val="2"/>
              </w:numPr>
            </w:pPr>
            <w:r>
              <w:rPr>
                <w:rStyle w:val="row-content"/>
              </w:rPr>
              <w:t xml:space="preserve">6.02 (Information/referral)—number of people making a request for information or referral.</w:t>
            </w:r>
          </w:p>
          <w:p>
            <w:pPr>
              <w:pStyle w:val="ListParagraph"/>
              <w:numPr>
                <w:ilvl w:val="0"/>
                <w:numId w:val="2"/>
              </w:numPr>
            </w:pPr>
            <w:r>
              <w:rPr>
                <w:rStyle w:val="row-content"/>
              </w:rPr>
              <w:t xml:space="preserve">6.03 (Combined information/advocacy)—as for 6.01 and 6.02.</w:t>
            </w:r>
          </w:p>
          <w:p>
            <w:pPr>
              <w:pStyle w:val="ListParagraph"/>
              <w:numPr>
                <w:ilvl w:val="0"/>
                <w:numId w:val="2"/>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2"/>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funded agency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5d25b00e81dc4f02">
              <w:r>
                <w:rPr>
                  <w:rStyle w:val="Hyperlink"/>
                </w:rPr>
                <w:t xml:space="preserve">Disability Services NMDS 2014-15</w:t>
              </w:r>
            </w:hyperlink>
          </w:p>
          <w:p>
            <w:pPr>
              <w:spacing w:before="0" w:after="0"/>
            </w:pPr>
            <w:r>
              <w:rPr>
                <w:rStyle w:val="row-content"/>
                <w:color w:val="244061"/>
              </w:rPr>
              <w:t xml:space="preserve">       </w:t>
            </w:r>
            <w:hyperlink w:history="true" r:id="R0ce0b95b703d4f64">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is collected for each </w:t>
            </w:r>
            <w:hyperlink w:history="true" r:id="R7eda02be19eb4613">
              <w:r>
                <w:rPr>
                  <w:rStyle w:val="Hyperlink"/>
                </w:rPr>
                <w:t xml:space="preserve">service type outlet</w:t>
              </w:r>
            </w:hyperlink>
            <w:r>
              <w:rPr>
                <w:rStyle w:val="row-content"/>
              </w:rPr>
              <w:t xml:space="preserve">, except those of service type activity types 7.01–7.04 (other support).</w:t>
            </w:r>
          </w:p>
          <w:p>
            <w:r>
              <w:rPr>
                <w:rStyle w:val="row-content"/>
              </w:rPr>
              <w:t xml:space="preserve">It refers to the number of </w:t>
            </w:r>
            <w:hyperlink w:history="true" r:id="R4fe446c424ab4c72">
              <w:r>
                <w:rPr>
                  <w:rStyle w:val="Hyperlink"/>
                </w:rPr>
                <w:t xml:space="preserve">service users</w:t>
              </w:r>
            </w:hyperlink>
            <w:r>
              <w:rPr>
                <w:rStyle w:val="row-content"/>
              </w:rPr>
              <w:t xml:space="preserve"> receiving services under the National Disability Agreement (NDA) of a particular </w:t>
            </w:r>
            <w:hyperlink w:history="true" r:id="Rcadff4b30b664ec4">
              <w:r>
                <w:rPr>
                  <w:rStyle w:val="Hyperlink"/>
                </w:rPr>
                <w:t xml:space="preserve">service type</w:t>
              </w:r>
            </w:hyperlink>
            <w:r>
              <w:rPr>
                <w:rStyle w:val="row-content"/>
              </w:rPr>
              <w:t xml:space="preserve">. The number of people who received a service during the whole reporting period is required, not just those who received a service in the reference week.</w:t>
            </w:r>
          </w:p>
          <w:p>
            <w:r>
              <w:rPr>
                <w:rStyle w:val="row-content"/>
              </w:rPr>
              <w:t xml:space="preserve">The total number of people receiving this service type indicated in response to this data item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rPr>
                <w:rStyle w:val="row-content"/>
              </w:rPr>
              <w:t xml:space="preserve">For service type outlets, except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rPr>
                <w:rStyle w:val="row-content"/>
              </w:rPr>
              <w:t xml:space="preserve">Service type outlets 6.01–6.05 should count the following:</w:t>
            </w:r>
          </w:p>
          <w:p>
            <w:pPr>
              <w:pStyle w:val="ListParagraph"/>
              <w:numPr>
                <w:ilvl w:val="0"/>
                <w:numId w:val="3"/>
              </w:numPr>
            </w:pPr>
            <w:r>
              <w:rPr>
                <w:rStyle w:val="row-content"/>
              </w:rPr>
              <w:t xml:space="preserve">6.01 (Advocacy)—number of people who have received advocacy services in the reporting period.</w:t>
            </w:r>
          </w:p>
          <w:p>
            <w:pPr>
              <w:pStyle w:val="ListParagraph"/>
              <w:numPr>
                <w:ilvl w:val="0"/>
                <w:numId w:val="3"/>
              </w:numPr>
            </w:pPr>
            <w:r>
              <w:rPr>
                <w:rStyle w:val="row-content"/>
              </w:rPr>
              <w:t xml:space="preserve">6.02 (Information/referral)—number of people making a request for information or referral.</w:t>
            </w:r>
          </w:p>
          <w:p>
            <w:pPr>
              <w:pStyle w:val="ListParagraph"/>
              <w:numPr>
                <w:ilvl w:val="0"/>
                <w:numId w:val="3"/>
              </w:numPr>
            </w:pPr>
            <w:r>
              <w:rPr>
                <w:rStyle w:val="row-content"/>
              </w:rPr>
              <w:t xml:space="preserve">6.03 (Combined information/advocacy)—as for 6.01 and 6.02.</w:t>
            </w:r>
          </w:p>
          <w:p>
            <w:pPr>
              <w:pStyle w:val="ListParagraph"/>
              <w:numPr>
                <w:ilvl w:val="0"/>
                <w:numId w:val="3"/>
              </w:numPr>
            </w:pPr>
            <w:r>
              <w:rPr>
                <w:rStyle w:val="row-content"/>
              </w:rPr>
              <w:t xml:space="preserve">6.04 (Mutual support/self-help groups)—number of people attending sessions (i.e. if an individual attends a group session every Wednesday in the reporting period, please count each person only once over the reporting period).</w:t>
            </w:r>
          </w:p>
          <w:p>
            <w:pPr>
              <w:pStyle w:val="ListParagraph"/>
              <w:numPr>
                <w:ilvl w:val="0"/>
                <w:numId w:val="3"/>
              </w:numPr>
            </w:pPr>
            <w:r>
              <w:rPr>
                <w:rStyle w:val="row-content"/>
              </w:rPr>
              <w:t xml:space="preserve">6.05 (Alternative formats of communication)—estimated number of people accessing the output from the service. </w:t>
            </w:r>
          </w:p>
          <w:p>
            <w:r>
              <w:rPr>
                <w:rStyle w:val="row-content"/>
              </w:rP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radio station funded under the NDA (6.05) should estimate the number of people who listen to the radio station. Where there is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rPr>
                <w:rStyle w:val="row-content"/>
              </w:rPr>
              <w:t xml:space="preserve">A </w:t>
            </w:r>
            <w:hyperlink w:history="true" r:id="Re9780d026ba74b26">
              <w:r>
                <w:rPr>
                  <w:rStyle w:val="Hyperlink"/>
                </w:rPr>
                <w:t xml:space="preserve">funded agency</w:t>
              </w:r>
            </w:hyperlink>
            <w:r>
              <w:rPr>
                <w:rStyle w:val="row-content"/>
              </w:rP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please count all service users who receive this service during the reporting period, unless your accounting and staffing methods enable reporting separately.  </w:t>
            </w:r>
          </w:p>
          <w:p>
            <w:r>
              <w:br/>
            </w:r>
            <w:r>
              <w:br/>
            </w:r>
            <w:hyperlink w:history="true" r:id="R1c3ae312888041b9">
              <w:r>
                <w:rPr>
                  <w:rStyle w:val="Hyperlink"/>
                </w:rPr>
                <w:t xml:space="preserve">Online Services Report (OSR) DSS 2020–21</w:t>
              </w:r>
            </w:hyperlink>
          </w:p>
          <w:p>
            <w:pPr>
              <w:spacing w:before="0" w:after="0"/>
            </w:pPr>
            <w:r>
              <w:rPr>
                <w:rStyle w:val="row-content"/>
                <w:color w:val="244061"/>
              </w:rPr>
              <w:t xml:space="preserve">       </w:t>
            </w:r>
            <w:hyperlink w:history="true" r:id="R84d230ab121c407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clients seen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cc6ebc65a484533">
              <w:r>
                <w:rPr>
                  <w:rStyle w:val="Hyperlink"/>
                  <w:b/>
                </w:rPr>
                <w:t xml:space="preserve">funded organisation</w:t>
              </w:r>
            </w:hyperlink>
            <w:r>
              <w:rPr>
                <w:rStyle w:val="row-content"/>
              </w:rPr>
              <w:t xml:space="preserve"> during the financial year are provided to the AIHW. Data are disaggregated by:</w:t>
            </w:r>
          </w:p>
          <w:p>
            <w:pPr>
              <w:pStyle w:val="ListParagraph"/>
              <w:numPr>
                <w:ilvl w:val="0"/>
                <w:numId w:val="4"/>
              </w:numPr>
            </w:pPr>
            <w:hyperlink w:history="true" r:id="R95f98591d8b5411b">
              <w:r>
                <w:rPr>
                  <w:rStyle w:val="Hyperlink"/>
                </w:rPr>
                <w:t xml:space="preserve">Person—Indigenous status, code N</w:t>
              </w:r>
            </w:hyperlink>
            <w:r>
              <w:br/>
            </w:r>
            <w:r>
              <w:rPr>
                <w:rStyle w:val="row-content"/>
              </w:rPr>
              <w:t xml:space="preserve">        • Aboriginal and/or Torres Strait Islander (CODE 1, CODE 2 or CODE 3)</w:t>
            </w:r>
            <w:r>
              <w:br/>
            </w:r>
            <w:r>
              <w:rPr>
                <w:rStyle w:val="row-content"/>
              </w:rPr>
              <w:t xml:space="preserve">        • Non-Indigenous (CODE 4)</w:t>
            </w:r>
            <w:r>
              <w:br/>
            </w:r>
            <w:r>
              <w:rPr>
                <w:rStyle w:val="row-content"/>
              </w:rPr>
              <w:t xml:space="preserve">        • Indigenous status not stated (CODE 9).</w:t>
            </w:r>
          </w:p>
          <w:p>
            <w:pPr>
              <w:pStyle w:val="ListParagraph"/>
              <w:numPr>
                <w:ilvl w:val="0"/>
                <w:numId w:val="4"/>
              </w:numPr>
            </w:pPr>
            <w:hyperlink w:history="true" r:id="R0dd35fd8f080496f">
              <w:r>
                <w:rPr>
                  <w:rStyle w:val="Hyperlink"/>
                </w:rPr>
                <w:t xml:space="preserve">Person—age range, 5 year code N[N]</w:t>
              </w:r>
            </w:hyperlink>
            <w:r>
              <w:br/>
            </w:r>
            <w:r>
              <w:rPr>
                <w:rStyle w:val="row-content"/>
              </w:rPr>
              <w:t xml:space="preserve">        • 0–4 (CODE 1)</w:t>
            </w:r>
            <w:r>
              <w:br/>
            </w:r>
            <w:r>
              <w:rPr>
                <w:rStyle w:val="row-content"/>
              </w:rPr>
              <w:t xml:space="preserve">        • 5–9 (CODE 2)</w:t>
            </w:r>
            <w:r>
              <w:br/>
            </w:r>
            <w:r>
              <w:rPr>
                <w:rStyle w:val="row-content"/>
              </w:rPr>
              <w:t xml:space="preserve">        • 10–14 (CODE 3)</w:t>
            </w:r>
            <w:r>
              <w:br/>
            </w:r>
            <w:r>
              <w:rPr>
                <w:rStyle w:val="row-content"/>
              </w:rPr>
              <w:t xml:space="preserve">        • 15–19 (CODE 4)</w:t>
            </w:r>
            <w:r>
              <w:br/>
            </w:r>
            <w:r>
              <w:rPr>
                <w:rStyle w:val="row-content"/>
              </w:rPr>
              <w:t xml:space="preserve">        • 20–24 (CODE 5)</w:t>
            </w:r>
            <w:r>
              <w:br/>
            </w:r>
            <w:r>
              <w:rPr>
                <w:rStyle w:val="row-content"/>
              </w:rPr>
              <w:t xml:space="preserve">        • 25–29 (CODE 6)</w:t>
            </w:r>
            <w:r>
              <w:br/>
            </w:r>
            <w:r>
              <w:rPr>
                <w:rStyle w:val="row-content"/>
              </w:rPr>
              <w:t xml:space="preserve">        • 30–34 (CODE 7)</w:t>
            </w:r>
            <w:r>
              <w:br/>
            </w:r>
            <w:r>
              <w:rPr>
                <w:rStyle w:val="row-content"/>
              </w:rPr>
              <w:t xml:space="preserve">        • 35–39 (CODE 8)</w:t>
            </w:r>
            <w:r>
              <w:br/>
            </w:r>
            <w:r>
              <w:rPr>
                <w:rStyle w:val="row-content"/>
              </w:rPr>
              <w:t xml:space="preserve">        • 40–44 (CODE 9)</w:t>
            </w:r>
            <w:r>
              <w:br/>
            </w:r>
            <w:r>
              <w:rPr>
                <w:rStyle w:val="row-content"/>
              </w:rPr>
              <w:t xml:space="preserve">        • 45–49 (CODE 10)</w:t>
            </w:r>
            <w:r>
              <w:br/>
            </w:r>
            <w:r>
              <w:rPr>
                <w:rStyle w:val="row-content"/>
              </w:rPr>
              <w:t xml:space="preserve">        • 50–54 (CODE 11)</w:t>
            </w:r>
            <w:r>
              <w:br/>
            </w:r>
            <w:r>
              <w:rPr>
                <w:rStyle w:val="row-content"/>
              </w:rPr>
              <w:t xml:space="preserve">        • 55–59 (CODE 12)</w:t>
            </w:r>
            <w:r>
              <w:br/>
            </w:r>
            <w:r>
              <w:rPr>
                <w:rStyle w:val="row-content"/>
              </w:rPr>
              <w:t xml:space="preserve">        • 60–64 (CODE 13)</w:t>
            </w:r>
            <w:r>
              <w:br/>
            </w:r>
            <w:r>
              <w:rPr>
                <w:rStyle w:val="row-content"/>
              </w:rPr>
              <w:t xml:space="preserve">        • 65 and over (CODE 14).</w:t>
            </w:r>
          </w:p>
          <w:p>
            <w:pPr>
              <w:pStyle w:val="ListParagraph"/>
              <w:numPr>
                <w:ilvl w:val="0"/>
                <w:numId w:val="4"/>
              </w:numPr>
            </w:pPr>
            <w:hyperlink w:history="true" r:id="R6e8956e17b4a4b54">
              <w:r>
                <w:rPr>
                  <w:rStyle w:val="Hyperlink"/>
                </w:rPr>
                <w:t xml:space="preserve">Person—sex, code X</w:t>
              </w:r>
            </w:hyperlink>
            <w:r>
              <w:br/>
            </w:r>
            <w:r>
              <w:rPr>
                <w:rStyle w:val="row-content"/>
              </w:rPr>
              <w:t xml:space="preserve">        • Male (CODE 1)</w:t>
            </w:r>
            <w:r>
              <w:br/>
            </w:r>
            <w:r>
              <w:rPr>
                <w:rStyle w:val="row-content"/>
              </w:rPr>
              <w:t xml:space="preserve">        • Female (CODE 2)</w:t>
            </w:r>
            <w:r>
              <w:br/>
            </w:r>
            <w:r>
              <w:rPr>
                <w:rStyle w:val="row-content"/>
              </w:rPr>
              <w:t xml:space="preserve">        • Gender not recorded (CODE 9) (Although reporting may vary, it is possible that in some funded organisations CODE 3 'Other' is included in this category for reporting).</w:t>
            </w:r>
          </w:p>
          <w:p>
            <w:r>
              <w:rPr>
                <w:rStyle w:val="row-content"/>
              </w:rPr>
              <w:t xml:space="preserve">For data collection, recording practices may vary between funded organisations so that:</w:t>
            </w:r>
          </w:p>
          <w:p>
            <w:pPr>
              <w:pStyle w:val="ListParagraph"/>
              <w:numPr>
                <w:ilvl w:val="0"/>
                <w:numId w:val="5"/>
              </w:numPr>
            </w:pPr>
            <w:r>
              <w:rPr>
                <w:rStyle w:val="row-content"/>
              </w:rPr>
              <w:t xml:space="preserve">Although the term gender is used in the Health Data Portal for data collection, either sex or gender may be collected, with both variables reported together as ‘sex’.</w:t>
            </w:r>
          </w:p>
          <w:p>
            <w:pPr>
              <w:pStyle w:val="ListParagraph"/>
              <w:numPr>
                <w:ilvl w:val="0"/>
                <w:numId w:val="5"/>
              </w:numPr>
            </w:pPr>
            <w:r>
              <w:rPr>
                <w:rStyle w:val="row-content"/>
              </w:rPr>
              <w:t xml:space="preserve">Either ‘Sex recorded at birth’ or ‘Sex reported at the time of collection’ may be collected, with both variables reported together as ‘sex’. It is likely that ‘Sex reported at the time of collection’ is most commonly collected.</w:t>
            </w:r>
          </w:p>
          <w:p>
            <w:r>
              <w:br/>
            </w:r>
            <w:r>
              <w:br/>
            </w:r>
          </w:p>
        </w:tc>
      </w:tr>
    </w:tbl>
    <w:p/>
    <w:tbl>
      <w:tblPr>
        <w:tblStyle w:val="TableGrid"/>
        <w:tblW w:w="0" w:type="auto"/>
      </w:tblPr>
    </w:tbl>
    <w:p>
      <w:r>
        <w:br/>
      </w:r>
    </w:p>
    <w:sectPr>
      <w:footerReference xmlns:r="http://schemas.openxmlformats.org/officeDocument/2006/relationships" w:type="default" r:id="Rf9ded4412ef6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236d34ec045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ed4412ef64d8e" /><Relationship Type="http://schemas.openxmlformats.org/officeDocument/2006/relationships/header" Target="/word/header1.xml" Id="R5fde72d3fcd24dbc" /><Relationship Type="http://schemas.openxmlformats.org/officeDocument/2006/relationships/settings" Target="/word/settings.xml" Id="Ra4847ac581bb4e44" /><Relationship Type="http://schemas.openxmlformats.org/officeDocument/2006/relationships/styles" Target="/word/styles.xml" Id="Reb2510b6c2c44ee6" /><Relationship Type="http://schemas.openxmlformats.org/officeDocument/2006/relationships/hyperlink" Target="https://meteor.aihw.gov.au/RegistrationAuthority/1" TargetMode="External" Id="R6ca80a0b0f144099" /><Relationship Type="http://schemas.openxmlformats.org/officeDocument/2006/relationships/hyperlink" Target="https://meteor.aihw.gov.au/RegistrationAuthority/16" TargetMode="External" Id="R27e8a445614c472f" /><Relationship Type="http://schemas.openxmlformats.org/officeDocument/2006/relationships/hyperlink" Target="https://meteor.aihw.gov.au/RegistrationAuthority/6" TargetMode="External" Id="Re525855f77c14bcc" /><Relationship Type="http://schemas.openxmlformats.org/officeDocument/2006/relationships/hyperlink" Target="https://meteor.aihw.gov.au/content/342646" TargetMode="External" Id="Re68104c0355a4ddb" /><Relationship Type="http://schemas.openxmlformats.org/officeDocument/2006/relationships/hyperlink" Target="https://meteor.aihw.gov.au/content/321269" TargetMode="External" Id="Rac8991eaf6ad4815" /><Relationship Type="http://schemas.openxmlformats.org/officeDocument/2006/relationships/hyperlink" Target="https://meteor.aihw.gov.au/content/577561" TargetMode="External" Id="R523380fe66f1454d" /><Relationship Type="http://schemas.openxmlformats.org/officeDocument/2006/relationships/hyperlink" Target="https://meteor.aihw.gov.au/RegistrationAuthority/6" TargetMode="External" Id="R413d907a8b004f3c" /><Relationship Type="http://schemas.openxmlformats.org/officeDocument/2006/relationships/hyperlink" Target="https://meteor.aihw.gov.au/content/565806" TargetMode="External" Id="R6aa27a8f7be04070" /><Relationship Type="http://schemas.openxmlformats.org/officeDocument/2006/relationships/hyperlink" Target="https://meteor.aihw.gov.au/RegistrationAuthority/6" TargetMode="External" Id="R5679c927e0754011" /><Relationship Type="http://schemas.openxmlformats.org/officeDocument/2006/relationships/hyperlink" Target="https://meteor.aihw.gov.au/content/677077" TargetMode="External" Id="R96e5f24aa5ff40b9" /><Relationship Type="http://schemas.openxmlformats.org/officeDocument/2006/relationships/hyperlink" Target="https://meteor.aihw.gov.au/RegistrationAuthority/6" TargetMode="External" Id="R1726be29f0714286" /><Relationship Type="http://schemas.openxmlformats.org/officeDocument/2006/relationships/hyperlink" Target="https://meteor.aihw.gov.au/content/677121" TargetMode="External" Id="Re227109edef44dfe" /><Relationship Type="http://schemas.openxmlformats.org/officeDocument/2006/relationships/hyperlink" Target="https://meteor.aihw.gov.au/RegistrationAuthority/6" TargetMode="External" Id="Rc30e6835648c4b43" /><Relationship Type="http://schemas.openxmlformats.org/officeDocument/2006/relationships/hyperlink" Target="https://meteor.aihw.gov.au/content/677083" TargetMode="External" Id="Rbdff2f05a63e4b5b" /><Relationship Type="http://schemas.openxmlformats.org/officeDocument/2006/relationships/hyperlink" Target="https://meteor.aihw.gov.au/RegistrationAuthority/6" TargetMode="External" Id="R78bc80b92f624595" /><Relationship Type="http://schemas.openxmlformats.org/officeDocument/2006/relationships/hyperlink" Target="https://meteor.aihw.gov.au/content/677090" TargetMode="External" Id="Rcab859b22504484d" /><Relationship Type="http://schemas.openxmlformats.org/officeDocument/2006/relationships/hyperlink" Target="https://meteor.aihw.gov.au/RegistrationAuthority/6" TargetMode="External" Id="R3491b33ee1bb480a" /><Relationship Type="http://schemas.openxmlformats.org/officeDocument/2006/relationships/hyperlink" Target="https://meteor.aihw.gov.au/content/677106" TargetMode="External" Id="Rdf5e37291b1a4499" /><Relationship Type="http://schemas.openxmlformats.org/officeDocument/2006/relationships/hyperlink" Target="https://meteor.aihw.gov.au/RegistrationAuthority/6" TargetMode="External" Id="Rb240f5fd3d044c3a" /><Relationship Type="http://schemas.openxmlformats.org/officeDocument/2006/relationships/hyperlink" Target="https://meteor.aihw.gov.au/content/568225" TargetMode="External" Id="R0771cacd297a474f" /><Relationship Type="http://schemas.openxmlformats.org/officeDocument/2006/relationships/hyperlink" Target="https://meteor.aihw.gov.au/RegistrationAuthority/6" TargetMode="External" Id="R6e8eb5a4345a4b82" /><Relationship Type="http://schemas.openxmlformats.org/officeDocument/2006/relationships/hyperlink" Target="https://meteor.aihw.gov.au/content/576863" TargetMode="External" Id="R2e2c94afff5549c9" /><Relationship Type="http://schemas.openxmlformats.org/officeDocument/2006/relationships/hyperlink" Target="https://meteor.aihw.gov.au/RegistrationAuthority/6" TargetMode="External" Id="R4158f1c3d2c84d3f" /><Relationship Type="http://schemas.openxmlformats.org/officeDocument/2006/relationships/hyperlink" Target="https://meteor.aihw.gov.au/content/575764" TargetMode="External" Id="R5c07424a15254bfa" /><Relationship Type="http://schemas.openxmlformats.org/officeDocument/2006/relationships/hyperlink" Target="https://meteor.aihw.gov.au/RegistrationAuthority/6" TargetMode="External" Id="R0b05ae2e52664994" /><Relationship Type="http://schemas.openxmlformats.org/officeDocument/2006/relationships/hyperlink" Target="https://meteor.aihw.gov.au/content/575956" TargetMode="External" Id="Raec16aacff6b4cf5" /><Relationship Type="http://schemas.openxmlformats.org/officeDocument/2006/relationships/hyperlink" Target="https://meteor.aihw.gov.au/RegistrationAuthority/6" TargetMode="External" Id="R31f0561976ff4574" /><Relationship Type="http://schemas.openxmlformats.org/officeDocument/2006/relationships/hyperlink" Target="https://meteor.aihw.gov.au/content/665166" TargetMode="External" Id="R24ffaf2a22fc4119" /><Relationship Type="http://schemas.openxmlformats.org/officeDocument/2006/relationships/hyperlink" Target="https://meteor.aihw.gov.au/RegistrationAuthority/6" TargetMode="External" Id="Rc0fb22c7361b4f67" /><Relationship Type="http://schemas.openxmlformats.org/officeDocument/2006/relationships/hyperlink" Target="https://meteor.aihw.gov.au/content/576557" TargetMode="External" Id="R365c65c028bb4f0b" /><Relationship Type="http://schemas.openxmlformats.org/officeDocument/2006/relationships/hyperlink" Target="https://meteor.aihw.gov.au/RegistrationAuthority/6" TargetMode="External" Id="R25d185100ea34b95" /><Relationship Type="http://schemas.openxmlformats.org/officeDocument/2006/relationships/hyperlink" Target="https://meteor.aihw.gov.au/content/317350" TargetMode="External" Id="R70fe66d6cc3c4d8b" /><Relationship Type="http://schemas.openxmlformats.org/officeDocument/2006/relationships/hyperlink" Target="https://meteor.aihw.gov.au/RegistrationAuthority/1" TargetMode="External" Id="R25ebf511999f4e84" /><Relationship Type="http://schemas.openxmlformats.org/officeDocument/2006/relationships/hyperlink" Target="https://meteor.aihw.gov.au/content/372123" TargetMode="External" Id="Red1eb4857e374ec5" /><Relationship Type="http://schemas.openxmlformats.org/officeDocument/2006/relationships/hyperlink" Target="https://meteor.aihw.gov.au/RegistrationAuthority/1" TargetMode="External" Id="Rdfbc6d3f83004cda" /><Relationship Type="http://schemas.openxmlformats.org/officeDocument/2006/relationships/hyperlink" Target="https://meteor.aihw.gov.au/content/386485" TargetMode="External" Id="R218c9b8089d04711" /><Relationship Type="http://schemas.openxmlformats.org/officeDocument/2006/relationships/hyperlink" Target="https://meteor.aihw.gov.au/RegistrationAuthority/1" TargetMode="External" Id="R368c5f5d40824871" /><Relationship Type="http://schemas.openxmlformats.org/officeDocument/2006/relationships/hyperlink" Target="https://meteor.aihw.gov.au/content/428708" TargetMode="External" Id="Rc790e3169a064c1f" /><Relationship Type="http://schemas.openxmlformats.org/officeDocument/2006/relationships/hyperlink" Target="https://meteor.aihw.gov.au/RegistrationAuthority/1" TargetMode="External" Id="R3565330d938b4364" /><Relationship Type="http://schemas.openxmlformats.org/officeDocument/2006/relationships/hyperlink" Target="https://meteor.aihw.gov.au/content/461636" TargetMode="External" Id="Re2da8070261e437b" /><Relationship Type="http://schemas.openxmlformats.org/officeDocument/2006/relationships/hyperlink" Target="https://meteor.aihw.gov.au/RegistrationAuthority/1" TargetMode="External" Id="Ra1d5042255054dfb" /><Relationship Type="http://schemas.openxmlformats.org/officeDocument/2006/relationships/hyperlink" Target="https://meteor.aihw.gov.au/content/461640" TargetMode="External" Id="R651efafa6c0d4542" /><Relationship Type="http://schemas.openxmlformats.org/officeDocument/2006/relationships/hyperlink" Target="https://meteor.aihw.gov.au/RegistrationAuthority/1" TargetMode="External" Id="Rd8775d72de014df9" /><Relationship Type="http://schemas.openxmlformats.org/officeDocument/2006/relationships/hyperlink" Target="https://meteor.aihw.gov.au/content/501973" TargetMode="External" Id="Re83deea16c9f4e08" /><Relationship Type="http://schemas.openxmlformats.org/officeDocument/2006/relationships/hyperlink" Target="https://meteor.aihw.gov.au/content/502689" TargetMode="External" Id="R84fac73b57ba4586" /><Relationship Type="http://schemas.openxmlformats.org/officeDocument/2006/relationships/hyperlink" Target="https://meteor.aihw.gov.au/content/500887" TargetMode="External" Id="R98f635aa24004e47" /><Relationship Type="http://schemas.openxmlformats.org/officeDocument/2006/relationships/numbering" Target="/word/numbering.xml" Id="Rd0c0bc5a4c9c49b7" /><Relationship Type="http://schemas.openxmlformats.org/officeDocument/2006/relationships/hyperlink" Target="https://meteor.aihw.gov.au/content/569749" TargetMode="External" Id="R5d25b00e81dc4f02" /><Relationship Type="http://schemas.openxmlformats.org/officeDocument/2006/relationships/hyperlink" Target="https://meteor.aihw.gov.au/RegistrationAuthority/16" TargetMode="External" Id="R0ce0b95b703d4f64" /><Relationship Type="http://schemas.openxmlformats.org/officeDocument/2006/relationships/hyperlink" Target="https://meteor.aihw.gov.au/content/501973" TargetMode="External" Id="R7eda02be19eb4613" /><Relationship Type="http://schemas.openxmlformats.org/officeDocument/2006/relationships/hyperlink" Target="https://meteor.aihw.gov.au/content/502689" TargetMode="External" Id="R4fe446c424ab4c72" /><Relationship Type="http://schemas.openxmlformats.org/officeDocument/2006/relationships/hyperlink" Target="https://meteor.aihw.gov.au/content/500887" TargetMode="External" Id="Rcadff4b30b664ec4" /><Relationship Type="http://schemas.openxmlformats.org/officeDocument/2006/relationships/hyperlink" Target="https://meteor.aihw.gov.au/content/386548" TargetMode="External" Id="Re9780d026ba74b26" /><Relationship Type="http://schemas.openxmlformats.org/officeDocument/2006/relationships/hyperlink" Target="https://meteor.aihw.gov.au/content/754789" TargetMode="External" Id="R1c3ae312888041b9" /><Relationship Type="http://schemas.openxmlformats.org/officeDocument/2006/relationships/hyperlink" Target="https://meteor.aihw.gov.au/RegistrationAuthority/6" TargetMode="External" Id="R84d230ab121c4071" /><Relationship Type="http://schemas.openxmlformats.org/officeDocument/2006/relationships/hyperlink" Target="https://meteor.aihw.gov.au/content/787038" TargetMode="External" Id="R9cc6ebc65a484533" /><Relationship Type="http://schemas.openxmlformats.org/officeDocument/2006/relationships/hyperlink" Target="https://meteor.aihw.gov.au/content/602543" TargetMode="External" Id="R95f98591d8b5411b" /><Relationship Type="http://schemas.openxmlformats.org/officeDocument/2006/relationships/hyperlink" Target="https://meteor.aihw.gov.au/content/756039" TargetMode="External" Id="R0dd35fd8f080496f" /><Relationship Type="http://schemas.openxmlformats.org/officeDocument/2006/relationships/hyperlink" Target="https://meteor.aihw.gov.au/content/635126" TargetMode="External" Id="R6e8956e17b4a4b54" /></Relationships>
</file>

<file path=word/_rels/header1.xml.rels>&#65279;<?xml version="1.0" encoding="utf-8"?><Relationships xmlns="http://schemas.openxmlformats.org/package/2006/relationships"><Relationship Type="http://schemas.openxmlformats.org/officeDocument/2006/relationships/image" Target="/media/image.png" Id="R174236d34ec0455e" /></Relationships>
</file>