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5db9940bf40c5"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principal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32316d9d5436a">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needs and circumstances of individuals and sometimes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bd74125a69473c">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dc7a4c495c46f6">
              <w:r>
                <w:rPr>
                  <w:rStyle w:val="Hyperlink"/>
                </w:rPr>
                <w:t xml:space="preserve">Source of cash income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8feb0b54e3c54c70">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3     Government cash pensions and allowances</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 between the permissible values of this Value domain and the ABS classification (that is, Code 4 of this Value domain maps to code 9 of the classification and Code 9 of this value domain is a supplementary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3ac0877f8ad44afa">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and none equal to or greater than 50%, the one, which contributes the largest percentage, should be counted.</w:t>
            </w:r>
          </w:p>
          <w:p>
            <w:pPr>
              <w:spacing w:after="160"/>
            </w:pPr>
            <w:r>
              <w:rPr>
                <w:rStyle w:val="row-content-rich-text"/>
              </w:rPr>
              <w:t xml:space="preserve">If there is more than one source and they are exactly equal, list the source of income which the person most identifies as receiving from the primary occupation.</w:t>
            </w:r>
          </w:p>
          <w:p>
            <w:pPr>
              <w:spacing w:after="160"/>
            </w:pPr>
            <w:r>
              <w:rPr>
                <w:rStyle w:val="row-content-rich-text"/>
              </w:rPr>
              <w:t xml:space="preserve">Included is cash income that may be received from employment (Employee cash income), as a profit or loss from an unincorporated enterprise (Unincorporated business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not asked of person's aged less than 15 years because they are generally dependants.</w:t>
            </w:r>
          </w:p>
          <w:p>
            <w:pPr>
              <w:spacing w:after="160"/>
            </w:pPr>
            <w:r>
              <w:rPr>
                <w:rStyle w:val="row-content-rich-text"/>
              </w:rPr>
              <w:t xml:space="preserve">While this standard specifies the collection of data at the 1-digit level, individual community services data collections may use more detailed categories for one or more of the above for program or service-specific purposes. For example, the Commonwealth State Disability Agreement National Minimum Data Set separately identifies disability support pension recipients and other pension/benefit recipients.</w:t>
            </w:r>
          </w:p>
          <w:p>
            <w:pPr>
              <w:spacing w:after="160"/>
            </w:pPr>
            <w:r>
              <w:rPr>
                <w:rStyle w:val="row-content-rich-text"/>
              </w:rPr>
              <w:t xml:space="preserve">It is permissible for agencies to collect at 2- or 4-digit as well, if this suits their purposes.</w:t>
            </w:r>
          </w:p>
          <w:p>
            <w:pPr>
              <w:spacing w:after="160"/>
            </w:pPr>
            <w:r>
              <w:rPr>
                <w:rStyle w:val="row-content-rich-text"/>
              </w:rPr>
              <w:t xml:space="preserve">'Principal source of cash income' may classify the same person (or household, family, or income unit) to different categories, depending upon the level of the classification at which it is collected and output. For example, if a person receives 40% of their income from wages, 35% from Rent, and 25% from Interest, then when collected at the base level of the classification, the Principal source will be ‘Employee cash income’ (Wages). When collected at the two digit level, it will be ‘Property cash income’ (rent 35% and Interest 24% combined), and at the top level, it will be Other cash income.</w:t>
            </w:r>
            <w:r>
              <w:br/>
            </w:r>
            <w:r>
              <w:rPr>
                <w:rStyle w:val="row-content-rich-text"/>
              </w:rPr>
              <w:t xml:space="preserve">Please note the difference between the permissible values of this Value domain and the ABS classification (that is, Code 4 of this Value domain maps to code 9 of the classification and Code 9 of this value domain is a supplementary value.).</w:t>
            </w:r>
          </w:p>
          <w:p>
            <w:pPr>
              <w:spacing w:after="160"/>
            </w:pPr>
            <w:r>
              <w:rPr>
                <w:rStyle w:val="row-content-rich-text"/>
              </w:rPr>
              <w:t xml:space="preserve">The 2- and 4-digit levels are described below:</w:t>
            </w:r>
          </w:p>
          <w:p>
            <w:pPr>
              <w:spacing w:after="160"/>
            </w:pPr>
            <w:r>
              <w:rPr>
                <w:rStyle w:val="row-content-rich-text"/>
              </w:rPr>
              <w:t xml:space="preserve">Narrow 2 digit representation</w:t>
            </w:r>
          </w:p>
          <w:p>
            <w:pPr>
              <w:spacing w:after="160"/>
            </w:pPr>
            <w:r>
              <w:rPr>
                <w:rStyle w:val="row-content-rich-text"/>
              </w:rPr>
              <w:t xml:space="preserve">11 Employee cash income</w:t>
            </w:r>
            <w:r>
              <w:br/>
            </w:r>
            <w:r>
              <w:rPr>
                <w:rStyle w:val="row-content-rich-text"/>
              </w:rPr>
              <w:t xml:space="preserve">21 Unincorporated business cash income</w:t>
            </w:r>
            <w:r>
              <w:br/>
            </w:r>
            <w:r>
              <w:rPr>
                <w:rStyle w:val="row-content-rich-text"/>
              </w:rPr>
              <w:t xml:space="preserve">31 Allowances for students and the unemployed</w:t>
            </w:r>
            <w:r>
              <w:br/>
            </w:r>
            <w:r>
              <w:rPr>
                <w:rStyle w:val="row-content-rich-text"/>
              </w:rPr>
              <w:t xml:space="preserve">32 Centrelink pensions for the aged and persons with a disability</w:t>
            </w:r>
            <w:r>
              <w:br/>
            </w:r>
            <w:r>
              <w:rPr>
                <w:rStyle w:val="row-content-rich-text"/>
              </w:rPr>
              <w:t xml:space="preserve">39 Other Government cash pensions and allowances</w:t>
            </w:r>
            <w:r>
              <w:br/>
            </w:r>
            <w:r>
              <w:rPr>
                <w:rStyle w:val="row-content-rich-text"/>
              </w:rPr>
              <w:t xml:space="preserve">41 Property cash income</w:t>
            </w:r>
            <w:r>
              <w:br/>
            </w:r>
            <w:r>
              <w:rPr>
                <w:rStyle w:val="row-content-rich-text"/>
              </w:rPr>
              <w:t xml:space="preserve">42 Superannuation/annuities</w:t>
            </w:r>
            <w:r>
              <w:br/>
            </w:r>
            <w:r>
              <w:rPr>
                <w:rStyle w:val="row-content-rich-text"/>
              </w:rPr>
              <w:t xml:space="preserve">43Transfers from private organisations</w:t>
            </w:r>
            <w:r>
              <w:br/>
            </w:r>
            <w:r>
              <w:rPr>
                <w:rStyle w:val="row-content-rich-text"/>
              </w:rPr>
              <w:t xml:space="preserve">44 Transfers from other households</w:t>
            </w:r>
            <w:r>
              <w:br/>
            </w:r>
            <w:r>
              <w:rPr>
                <w:rStyle w:val="row-content-rich-text"/>
              </w:rPr>
              <w:t xml:space="preserve">43 Scholarships</w:t>
            </w:r>
            <w:r>
              <w:br/>
            </w:r>
            <w:r>
              <w:rPr>
                <w:rStyle w:val="row-content-rich-text"/>
              </w:rPr>
              <w:t xml:space="preserve">49 Other cash income</w:t>
            </w:r>
            <w:r>
              <w:br/>
            </w:r>
            <w:r>
              <w:rPr>
                <w:rStyle w:val="row-content-rich-text"/>
              </w:rPr>
              <w:t xml:space="preserve">88 Nil income</w:t>
            </w:r>
            <w:r>
              <w:br/>
            </w:r>
            <w:r>
              <w:rPr>
                <w:rStyle w:val="row-content-rich-text"/>
              </w:rPr>
              <w:t xml:space="preserve">99 Not stated/not known/inadequately described</w:t>
            </w:r>
          </w:p>
          <w:p>
            <w:pPr>
              <w:spacing w:after="160"/>
            </w:pPr>
            <w:r>
              <w:rPr>
                <w:rStyle w:val="row-content-rich-text"/>
              </w:rPr>
              <w:t xml:space="preserve">Detailed (four-digit) representation</w:t>
            </w:r>
          </w:p>
          <w:p>
            <w:pPr>
              <w:spacing w:after="160"/>
            </w:pPr>
            <w:r>
              <w:rPr>
                <w:rStyle w:val="row-content-rich-text"/>
              </w:rPr>
              <w:t xml:space="preserve">1101 Employee cash income</w:t>
            </w:r>
            <w:r>
              <w:br/>
            </w:r>
            <w:r>
              <w:rPr>
                <w:rStyle w:val="row-content-rich-text"/>
              </w:rPr>
              <w:t xml:space="preserve">2101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b9b656bfa94b4ad7">
              <w:r>
                <w:rPr>
                  <w:rStyle w:val="Hyperlink"/>
                  <w:b/>
                </w:rPr>
                <w:t xml:space="preserve">Unincorporated business </w:t>
              </w:r>
            </w:hyperlink>
            <w:r>
              <w:rPr>
                <w:rStyle w:val="row-content-rich-text"/>
              </w:rPr>
              <w:t xml:space="preserve">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 </w:t>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62cccd4f834b1a">
              <w:r>
                <w:rPr>
                  <w:rStyle w:val="Hyperlink"/>
                </w:rPr>
                <w:t xml:space="preserve">Person—income source (principal), code N[N]</w:t>
              </w:r>
            </w:hyperlink>
          </w:p>
          <w:p>
            <w:pPr>
              <w:pStyle w:val="registration-status"/>
              <w:spacing w:before="0" w:after="0"/>
            </w:pPr>
            <w:hyperlink w:history="true" r:id="R34801eb191b149d2">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18d6b427a58e4ddd">
              <w:r>
                <w:rPr>
                  <w:rStyle w:val="Hyperlink"/>
                </w:rPr>
                <w:t xml:space="preserve">Person—source of cash income (principal), code N</w:t>
              </w:r>
            </w:hyperlink>
          </w:p>
          <w:p>
            <w:pPr>
              <w:pStyle w:val="registration-status"/>
              <w:spacing w:before="0" w:after="0"/>
            </w:pPr>
            <w:hyperlink w:history="true" r:id="R4564079947b348f7">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See also </w:t>
            </w:r>
            <w:hyperlink w:history="true" r:id="R5f4f48a548e14e7f">
              <w:r>
                <w:rPr>
                  <w:rStyle w:val="Hyperlink"/>
                </w:rPr>
                <w:t xml:space="preserve">Person—source of cash income (all) code NN</w:t>
              </w:r>
            </w:hyperlink>
          </w:p>
          <w:p>
            <w:pPr>
              <w:pStyle w:val="registration-status"/>
              <w:spacing w:before="0" w:after="0"/>
            </w:pPr>
            <w:hyperlink w:history="true" r:id="R9013522a6fe242d0">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37ba2036531a4033">
              <w:r>
                <w:rPr>
                  <w:rStyle w:val="Hyperlink"/>
                </w:rPr>
                <w:t xml:space="preserve">Person—source of cash income (all), code NNNN</w:t>
              </w:r>
            </w:hyperlink>
          </w:p>
          <w:p>
            <w:pPr>
              <w:pStyle w:val="registration-status"/>
              <w:spacing w:before="0" w:after="0"/>
            </w:pPr>
            <w:hyperlink w:history="true" r:id="Rdadb1dece3e443a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d41ffbba984422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23433faf0104fa0">
              <w:r>
                <w:rPr>
                  <w:rStyle w:val="Hyperlink"/>
                </w:rPr>
                <w:t xml:space="preserve">Person—source of cash income (all), housing assistance code N[.N.N.N]</w:t>
              </w:r>
            </w:hyperlink>
          </w:p>
          <w:p>
            <w:pPr>
              <w:pStyle w:val="registration-status"/>
              <w:spacing w:before="0" w:after="0"/>
            </w:pPr>
            <w:hyperlink w:history="true" r:id="Rad36b9dd5d0b41db">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b7b357547bd1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8acbf9806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357547bd141d3" /><Relationship Type="http://schemas.openxmlformats.org/officeDocument/2006/relationships/header" Target="/word/header1.xml" Id="Rbd036c83c8894f9e" /><Relationship Type="http://schemas.openxmlformats.org/officeDocument/2006/relationships/settings" Target="/word/settings.xml" Id="R019dc0e7446e45e2" /><Relationship Type="http://schemas.openxmlformats.org/officeDocument/2006/relationships/styles" Target="/word/styles.xml" Id="R618c9761bfb44ef7" /><Relationship Type="http://schemas.openxmlformats.org/officeDocument/2006/relationships/hyperlink" Target="https://meteor.aihw.gov.au/RegistrationAuthority/1" TargetMode="External" Id="R74a32316d9d5436a" /><Relationship Type="http://schemas.openxmlformats.org/officeDocument/2006/relationships/hyperlink" Target="https://meteor.aihw.gov.au/content/321061" TargetMode="External" Id="R70bd74125a69473c" /><Relationship Type="http://schemas.openxmlformats.org/officeDocument/2006/relationships/hyperlink" Target="https://meteor.aihw.gov.au/content/321051" TargetMode="External" Id="R37dc7a4c495c46f6" /><Relationship Type="http://schemas.openxmlformats.org/officeDocument/2006/relationships/hyperlink" Target="https://meteor.aihw.gov.au/content/327462" TargetMode="External" Id="R8feb0b54e3c54c70" /><Relationship Type="http://schemas.openxmlformats.org/officeDocument/2006/relationships/hyperlink" Target="http://www.abs.gov.au/Ausstats/abs@.nsf/66f306f503e529a5ca25697e0017661f/3b68ad17755e9f33ca256e6200738de8!OpenDocument" TargetMode="External" Id="R3ac0877f8ad44afa" /><Relationship Type="http://schemas.openxmlformats.org/officeDocument/2006/relationships/hyperlink" Target="https://meteor.aihw.gov.au/content/327462" TargetMode="External" Id="Rb9b656bfa94b4ad7" /><Relationship Type="http://schemas.openxmlformats.org/officeDocument/2006/relationships/hyperlink" Target="https://meteor.aihw.gov.au/content/270378" TargetMode="External" Id="Re862cccd4f834b1a" /><Relationship Type="http://schemas.openxmlformats.org/officeDocument/2006/relationships/hyperlink" Target="https://meteor.aihw.gov.au/RegistrationAuthority/1" TargetMode="External" Id="R34801eb191b149d2" /><Relationship Type="http://schemas.openxmlformats.org/officeDocument/2006/relationships/hyperlink" Target="https://meteor.aihw.gov.au/content/367880" TargetMode="External" Id="R18d6b427a58e4ddd" /><Relationship Type="http://schemas.openxmlformats.org/officeDocument/2006/relationships/hyperlink" Target="https://meteor.aihw.gov.au/RegistrationAuthority/1" TargetMode="External" Id="R4564079947b348f7" /><Relationship Type="http://schemas.openxmlformats.org/officeDocument/2006/relationships/hyperlink" Target="https://meteor.aihw.gov.au/content/321156" TargetMode="External" Id="R5f4f48a548e14e7f" /><Relationship Type="http://schemas.openxmlformats.org/officeDocument/2006/relationships/hyperlink" Target="https://meteor.aihw.gov.au/RegistrationAuthority/1" TargetMode="External" Id="R9013522a6fe242d0" /><Relationship Type="http://schemas.openxmlformats.org/officeDocument/2006/relationships/hyperlink" Target="https://meteor.aihw.gov.au/content/408120" TargetMode="External" Id="R37ba2036531a4033" /><Relationship Type="http://schemas.openxmlformats.org/officeDocument/2006/relationships/hyperlink" Target="https://meteor.aihw.gov.au/RegistrationAuthority/14" TargetMode="External" Id="Rdadb1dece3e443aa" /><Relationship Type="http://schemas.openxmlformats.org/officeDocument/2006/relationships/hyperlink" Target="https://meteor.aihw.gov.au/RegistrationAuthority/11" TargetMode="External" Id="Rcd41ffbba9844225" /><Relationship Type="http://schemas.openxmlformats.org/officeDocument/2006/relationships/hyperlink" Target="https://meteor.aihw.gov.au/content/513378" TargetMode="External" Id="R123433faf0104fa0" /><Relationship Type="http://schemas.openxmlformats.org/officeDocument/2006/relationships/hyperlink" Target="https://meteor.aihw.gov.au/RegistrationAuthority/11" TargetMode="External" Id="Rad36b9dd5d0b41db" /></Relationships>
</file>

<file path=word/_rels/header1.xml.rels>&#65279;<?xml version="1.0" encoding="utf-8"?><Relationships xmlns="http://schemas.openxmlformats.org/package/2006/relationships"><Relationship Type="http://schemas.openxmlformats.org/officeDocument/2006/relationships/image" Target="/media/image.png" Id="R49f8acbf980649b4" /></Relationships>
</file>