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d3f0c0efd28477d" /></Relationships>
</file>

<file path=word/document.xml><?xml version="1.0" encoding="utf-8"?>
<w:document xmlns:r="http://schemas.openxmlformats.org/officeDocument/2006/relationships" xmlns:w="http://schemas.openxmlformats.org/wordprocessingml/2006/main">
  <w:body>
    <w:p>
      <w:pPr>
        <w:pStyle w:val="Title"/>
      </w:pPr>
      <w:r>
        <w:t>Service provider organisation—funding allocated, total Australian currency N[N(8)]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organisation—funding allocated,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Funding allocated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Total NDA funds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321039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f9bbddc7a7941c0">
              <w:r>
                <w:rPr>
                  <w:rStyle w:val="Hyperlink"/>
                  <w:color w:val="244061"/>
                </w:rPr>
                <w:t xml:space="preserve">Community Services (retired)</w:t>
              </w:r>
            </w:hyperlink>
            <w:r>
              <w:rPr>
                <w:rStyle w:val="row-content"/>
                <w:color w:val="244061"/>
              </w:rPr>
              <w:t xml:space="preserve">, Standard 27/04/2007</w:t>
            </w:r>
          </w:p>
          <w:p>
            <w:pPr>
              <w:spacing w:before="0" w:after="0"/>
            </w:pPr>
            <w:hyperlink w:history="true" r:id="R6bf40babff604999">
              <w:r>
                <w:rPr>
                  <w:rStyle w:val="Hyperlink"/>
                  <w:color w:val="244061"/>
                </w:rPr>
                <w:t xml:space="preserve">Disability</w:t>
              </w:r>
            </w:hyperlink>
            <w:r>
              <w:rPr>
                <w:rStyle w:val="row-content"/>
                <w:color w:val="244061"/>
              </w:rPr>
              <w:t xml:space="preserve">, Standard 07/10/2014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amount of money allocated to an agency or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d48a0c0df1f40e3">
              <w:r>
                <w:rPr>
                  <w:rStyle w:val="Hyperlink"/>
                </w:rPr>
                <w:t xml:space="preserve">Service provider organisation—funding allocated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4f13722a77841c7">
              <w:r>
                <w:rPr>
                  <w:rStyle w:val="Hyperlink"/>
                </w:rPr>
                <w:t xml:space="preserve">Total Australian currency N[N(8)]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CSTDA NMDS Network.</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Commonwealth State/Territory Disability Agreement National Minimum Data Set (CSTDA NMDS) collection. Data Guide: data items and definitions 2006-07.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Commonwealth State/Territory Disability Agreement National Minimum Data Set (CSTDA NMDS) Data Dictionary Version 1.1. July 2004. 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da15541bf12448d">
              <w:r>
                <w:rPr>
                  <w:rStyle w:val="Hyperlink"/>
                </w:rPr>
                <w:t xml:space="preserve">Commonwealth State/Territory Disability Agreement NMDS  - 1 July 2006</w:t>
              </w:r>
            </w:hyperlink>
          </w:p>
          <w:p>
            <w:pPr>
              <w:spacing w:before="0" w:after="0"/>
            </w:pPr>
            <w:r>
              <w:rPr>
                <w:rStyle w:val="row-content"/>
                <w:color w:val="244061"/>
              </w:rPr>
              <w:t xml:space="preserve">       </w:t>
            </w:r>
            <w:hyperlink w:history="true" r:id="R4ee3bc513b274da6">
              <w:r>
                <w:rPr>
                  <w:rStyle w:val="Hyperlink"/>
                  <w:color w:val="244061"/>
                </w:rPr>
                <w:t xml:space="preserve">Community Services (retired)</w:t>
              </w:r>
            </w:hyperlink>
            <w:r>
              <w:rPr>
                <w:rStyle w:val="row-content"/>
                <w:color w:val="244061"/>
              </w:rPr>
              <w:t xml:space="preserve">, Superseded 14/12/2008</w:t>
            </w:r>
          </w:p>
          <w:p>
            <w:r>
              <w:rPr>
                <w:rStyle w:val="row-content"/>
                <w:b/>
                <w:i/>
              </w:rPr>
              <w:t xml:space="preserve">DSS specific information: </w:t>
            </w:r>
          </w:p>
          <w:p>
            <w:r>
              <w:rPr>
                <w:rStyle w:val="row-content"/>
              </w:rPr>
              <w:t xml:space="preserve">CSTDA funding data should relate to the most recent financial year. This data element needs to be reported for all services funded under the CSTDA, both those delivered by government and non-government providers. Where possible CSTDA funding data should be linked to Service type outlet identification numbers. Where the funding information is not available at the Service type outlet level, funding departments are requested to allocate the funding information for dollars to either a group of service type outlets or to a Funded agency.</w:t>
            </w:r>
          </w:p>
          <w:p>
            <w:r>
              <w:rPr>
                <w:rStyle w:val="row-content"/>
              </w:rPr>
              <w:t xml:space="preserve">Total CSTDA funds can be provided by the jurisdiction/funding department at various levels-service type outlet, funded agency, or service group level.</w:t>
            </w:r>
          </w:p>
          <w:p>
            <w:r>
              <w:br/>
            </w:r>
            <w:r>
              <w:br/>
            </w:r>
            <w:hyperlink w:history="true" r:id="R6a7c9035190e4dc0">
              <w:r>
                <w:rPr>
                  <w:rStyle w:val="Hyperlink"/>
                </w:rPr>
                <w:t xml:space="preserve">Commonwealth State/Territory Disability Agreement NMDS (July 2008)</w:t>
              </w:r>
            </w:hyperlink>
          </w:p>
          <w:p>
            <w:pPr>
              <w:spacing w:before="0" w:after="0"/>
            </w:pPr>
            <w:r>
              <w:rPr>
                <w:rStyle w:val="row-content"/>
                <w:color w:val="244061"/>
              </w:rPr>
              <w:t xml:space="preserve">       </w:t>
            </w:r>
            <w:hyperlink w:history="true" r:id="Rfd4d651fad4845ee">
              <w:r>
                <w:rPr>
                  <w:rStyle w:val="Hyperlink"/>
                  <w:color w:val="244061"/>
                </w:rPr>
                <w:t xml:space="preserve">Community Services (retired)</w:t>
              </w:r>
            </w:hyperlink>
            <w:r>
              <w:rPr>
                <w:rStyle w:val="row-content"/>
                <w:color w:val="244061"/>
              </w:rPr>
              <w:t xml:space="preserve">, Superseded 11/11/2009</w:t>
            </w:r>
          </w:p>
          <w:p>
            <w:r>
              <w:rPr>
                <w:rStyle w:val="row-content"/>
                <w:b/>
                <w:i/>
              </w:rPr>
              <w:t xml:space="preserve">DSS specific information: </w:t>
            </w:r>
          </w:p>
          <w:p>
            <w:r>
              <w:rPr>
                <w:rStyle w:val="row-content"/>
              </w:rPr>
              <w:t xml:space="preserve">CSTDA funding data should relate to the most recent financial year. This data element needs to be reported for all services funded under the CSTDA, both those delivered by government and non-government providers. Where possible CSTDA funding data should be linked to Service type outlet identification numbers. Where the funding information is not available at the Service type outlet level, funding departments are requested to allocate the funding information for dollars to either a group of service type outlets or to a Funded agency.</w:t>
            </w:r>
          </w:p>
          <w:p>
            <w:r>
              <w:rPr>
                <w:rStyle w:val="row-content"/>
              </w:rPr>
              <w:t xml:space="preserve">Total CSTDA funds can be provided by the jurisdiction/funding department at various levels-service type outlet, funded agency, or service group level.</w:t>
            </w:r>
          </w:p>
          <w:p>
            <w:r>
              <w:br/>
            </w:r>
            <w:r>
              <w:br/>
            </w:r>
            <w:hyperlink w:history="true" r:id="R97911974e6134f86">
              <w:r>
                <w:rPr>
                  <w:rStyle w:val="Hyperlink"/>
                </w:rPr>
                <w:t xml:space="preserve">Disability Services NMDS 2009-10</w:t>
              </w:r>
            </w:hyperlink>
          </w:p>
          <w:p>
            <w:pPr>
              <w:spacing w:before="0" w:after="0"/>
            </w:pPr>
            <w:r>
              <w:rPr>
                <w:rStyle w:val="row-content"/>
                <w:color w:val="244061"/>
              </w:rPr>
              <w:t xml:space="preserve">       </w:t>
            </w:r>
            <w:hyperlink w:history="true" r:id="Rc8e0fa61d8ed4f25">
              <w:r>
                <w:rPr>
                  <w:rStyle w:val="Hyperlink"/>
                  <w:color w:val="244061"/>
                </w:rPr>
                <w:t xml:space="preserve">Community Services (retired)</w:t>
              </w:r>
            </w:hyperlink>
            <w:r>
              <w:rPr>
                <w:rStyle w:val="row-content"/>
                <w:color w:val="244061"/>
              </w:rPr>
              <w:t xml:space="preserve">, Superseded 15/12/2011</w:t>
            </w:r>
          </w:p>
          <w:p>
            <w:r>
              <w:rPr>
                <w:rStyle w:val="row-content"/>
                <w:b/>
                <w:i/>
              </w:rPr>
              <w:t xml:space="preserve">Implementation start date: </w:t>
            </w:r>
            <w:r>
              <w:rPr>
                <w:rStyle w:val="row-content"/>
              </w:rPr>
              <w:t xml:space="preserve">01/07/2009</w:t>
            </w:r>
            <w:r>
              <w:br/>
            </w:r>
            <w:r>
              <w:rPr>
                <w:rStyle w:val="row-content"/>
                <w:b/>
                <w:i/>
              </w:rPr>
              <w:t xml:space="preserve">DSS specific information: </w:t>
            </w:r>
          </w:p>
          <w:p>
            <w:r>
              <w:rPr>
                <w:rStyle w:val="row-content"/>
              </w:rPr>
              <w:t xml:space="preserve">NDA funding data should relate to the most recent financial year. This data element needs to be reported for all services funded under the NDA, both those delivered by government and non-government providers. Where possible NDA funding data should be linked to Service type outlet identification numbers. Where the funding information is not available at the Service type outlet level, funding departments are requested to allocate the funding information for dollars to either a group of service type outlets or to a Funded agency.</w:t>
            </w:r>
          </w:p>
          <w:p>
            <w:r>
              <w:rPr>
                <w:rStyle w:val="row-content"/>
              </w:rPr>
              <w:t xml:space="preserve">Total NDA funds can be provided by the jurisdiction/funding department at various levels-service type outlet, funded agency, or service group level.</w:t>
            </w:r>
          </w:p>
          <w:p>
            <w:r>
              <w:br/>
            </w:r>
            <w:r>
              <w:br/>
            </w:r>
            <w:hyperlink w:history="true" r:id="Rd9163173e1fe4290">
              <w:r>
                <w:rPr>
                  <w:rStyle w:val="Hyperlink"/>
                </w:rPr>
                <w:t xml:space="preserve">Disability Services NMDS 2010-11</w:t>
              </w:r>
            </w:hyperlink>
          </w:p>
          <w:p>
            <w:pPr>
              <w:spacing w:before="0" w:after="0"/>
            </w:pPr>
            <w:r>
              <w:rPr>
                <w:rStyle w:val="row-content"/>
                <w:color w:val="244061"/>
              </w:rPr>
              <w:t xml:space="preserve">       </w:t>
            </w:r>
            <w:hyperlink w:history="true" r:id="Rc24dad74044b4cca">
              <w:r>
                <w:rPr>
                  <w:rStyle w:val="Hyperlink"/>
                  <w:color w:val="244061"/>
                </w:rPr>
                <w:t xml:space="preserve">Community Services (retired)</w:t>
              </w:r>
            </w:hyperlink>
            <w:r>
              <w:rPr>
                <w:rStyle w:val="row-content"/>
                <w:color w:val="244061"/>
              </w:rPr>
              <w:t xml:space="preserve">, Superseded 15/12/2011</w:t>
            </w:r>
          </w:p>
          <w:p>
            <w:r>
              <w:rPr>
                <w:rStyle w:val="row-content"/>
                <w:b/>
                <w:i/>
              </w:rPr>
              <w:t xml:space="preserve">Implementation start date: </w:t>
            </w:r>
            <w:r>
              <w:rPr>
                <w:rStyle w:val="row-content"/>
              </w:rPr>
              <w:t xml:space="preserve">01/07/2010</w:t>
            </w:r>
            <w:r>
              <w:br/>
            </w:r>
            <w:r>
              <w:rPr>
                <w:rStyle w:val="row-content"/>
                <w:b/>
                <w:i/>
              </w:rPr>
              <w:t xml:space="preserve">DSS specific information: </w:t>
            </w:r>
          </w:p>
          <w:p>
            <w:r>
              <w:rPr>
                <w:rStyle w:val="row-content"/>
              </w:rPr>
              <w:t xml:space="preserve">NDA funding data should relate to the most recent financial year. This data element needs to be reported for all services funded under the NDA, both those delivered by government and non-government providers. Where possible NDA funding data should be linked to Service type outlet identification numbers. Where the funding information is not available at the Service type outlet level, funding departments are requested to allocate the funding information for dollars to either a group of service type outlets or to a Funded agency.</w:t>
            </w:r>
          </w:p>
          <w:p>
            <w:r>
              <w:rPr>
                <w:rStyle w:val="row-content"/>
              </w:rPr>
              <w:t xml:space="preserve">Total NDA funds can be provided by the jurisdiction/funding department at various levels-service type outlet, funded agency, or service group level.</w:t>
            </w:r>
          </w:p>
          <w:p>
            <w:r>
              <w:br/>
            </w:r>
            <w:r>
              <w:br/>
            </w:r>
            <w:hyperlink w:history="true" r:id="R28bccf662dc94541">
              <w:r>
                <w:rPr>
                  <w:rStyle w:val="Hyperlink"/>
                </w:rPr>
                <w:t xml:space="preserve">Disability Services NMDS 2011-12</w:t>
              </w:r>
            </w:hyperlink>
          </w:p>
          <w:p>
            <w:pPr>
              <w:spacing w:before="0" w:after="0"/>
            </w:pPr>
            <w:r>
              <w:rPr>
                <w:rStyle w:val="row-content"/>
                <w:color w:val="244061"/>
              </w:rPr>
              <w:t xml:space="preserve">       </w:t>
            </w:r>
            <w:hyperlink w:history="true" r:id="R87cf333248464857">
              <w:r>
                <w:rPr>
                  <w:rStyle w:val="Hyperlink"/>
                  <w:color w:val="244061"/>
                </w:rPr>
                <w:t xml:space="preserve">Community Services (retired)</w:t>
              </w:r>
            </w:hyperlink>
            <w:r>
              <w:rPr>
                <w:rStyle w:val="row-content"/>
                <w:color w:val="244061"/>
              </w:rPr>
              <w:t xml:space="preserve">, Superseded 13/03/2013</w:t>
            </w:r>
          </w:p>
          <w:p>
            <w:r>
              <w:rPr>
                <w:rStyle w:val="row-content"/>
                <w:b/>
                <w:i/>
              </w:rPr>
              <w:t xml:space="preserve">Implementation start date: </w:t>
            </w:r>
            <w:r>
              <w:rPr>
                <w:rStyle w:val="row-content"/>
              </w:rPr>
              <w:t xml:space="preserve">01/07/2011</w:t>
            </w:r>
            <w:r>
              <w:br/>
            </w:r>
            <w:r>
              <w:rPr>
                <w:rStyle w:val="row-content"/>
                <w:b/>
                <w:i/>
              </w:rPr>
              <w:t xml:space="preserve">DSS specific information: </w:t>
            </w:r>
          </w:p>
          <w:p>
            <w:r>
              <w:rPr>
                <w:rStyle w:val="row-content"/>
              </w:rPr>
              <w:t xml:space="preserve">NDA funding data should relate to the most recent financial year. This data element needs to be reported for all services funded under the NDA, both those delivered by government and non-government providers. Where possible NDA funding data should be linked to Service type outlet identification numbers. Where the funding information is not available at the Service type outlet level, funding departments are requested to allocate the funding information for dollars to either a group of service type outlets or to a Funded agency.</w:t>
            </w:r>
          </w:p>
          <w:p>
            <w:r>
              <w:rPr>
                <w:rStyle w:val="row-content"/>
              </w:rPr>
              <w:t xml:space="preserve">Total NDA funds can be provided by the jurisdiction/funding department at various levels-service type outlet, funded agency, or service group level.</w:t>
            </w:r>
          </w:p>
          <w:p>
            <w:r>
              <w:br/>
            </w:r>
            <w:r>
              <w:br/>
            </w:r>
            <w:hyperlink w:history="true" r:id="R9307a4dfc17740db">
              <w:r>
                <w:rPr>
                  <w:rStyle w:val="Hyperlink"/>
                </w:rPr>
                <w:t xml:space="preserve">Disability Services NMDS 2012-14</w:t>
              </w:r>
            </w:hyperlink>
          </w:p>
          <w:p>
            <w:pPr>
              <w:spacing w:before="0" w:after="0"/>
            </w:pPr>
            <w:r>
              <w:rPr>
                <w:rStyle w:val="row-content"/>
                <w:color w:val="244061"/>
              </w:rPr>
              <w:t xml:space="preserve">       </w:t>
            </w:r>
            <w:hyperlink w:history="true" r:id="Rdc49a140de534753">
              <w:r>
                <w:rPr>
                  <w:rStyle w:val="Hyperlink"/>
                  <w:color w:val="244061"/>
                </w:rPr>
                <w:t xml:space="preserve">Community Services (retired)</w:t>
              </w:r>
            </w:hyperlink>
            <w:r>
              <w:rPr>
                <w:rStyle w:val="row-content"/>
                <w:color w:val="244061"/>
              </w:rPr>
              <w:t xml:space="preserve">, Standard 13/03/2013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NDA funding data should relate to the most recent financial year. This data element needs to be reported for all </w:t>
            </w:r>
            <w:hyperlink w:history="true" r:id="R76b5bf33cceb4890">
              <w:r>
                <w:rPr>
                  <w:rStyle w:val="Hyperlink"/>
                </w:rPr>
                <w:t xml:space="preserve">services</w:t>
              </w:r>
            </w:hyperlink>
            <w:r>
              <w:rPr>
                <w:rStyle w:val="row-content"/>
              </w:rPr>
              <w:t xml:space="preserve"> funded under the NDA, both those delivered by government and non-government providers. Data provided should be consistent with that provided to the Productivity Commission for the NDA indicators, but should also include expenditure on specialist psychiatric disability services.</w:t>
            </w:r>
          </w:p>
          <w:p>
            <w:r>
              <w:rPr>
                <w:rStyle w:val="row-content"/>
              </w:rPr>
              <w:t xml:space="preserve">Where possible NDA funding data should be linked to </w:t>
            </w:r>
            <w:hyperlink w:history="true" r:id="Reab46cdcb98a4efe">
              <w:r>
                <w:rPr>
                  <w:rStyle w:val="Hyperlink"/>
                </w:rPr>
                <w:t xml:space="preserve">service type outlet identification</w:t>
              </w:r>
            </w:hyperlink>
            <w:r>
              <w:rPr>
                <w:rStyle w:val="row-content"/>
              </w:rPr>
              <w:t xml:space="preserve"> numbers. Where the funding information is not available at the </w:t>
            </w:r>
            <w:hyperlink w:history="true" r:id="R11619ad4157a4785">
              <w:r>
                <w:rPr>
                  <w:rStyle w:val="Hyperlink"/>
                </w:rPr>
                <w:t xml:space="preserve">service type outlet</w:t>
              </w:r>
            </w:hyperlink>
            <w:r>
              <w:rPr>
                <w:rStyle w:val="row-content"/>
              </w:rPr>
              <w:t xml:space="preserve"> level, funding departments are requested to allocate the funding information to broad service group level. Administrative expenditure and capital grants are to be provided on separate lines.</w:t>
            </w:r>
          </w:p>
          <w:p>
            <w:r>
              <w:rPr>
                <w:rStyle w:val="row-content"/>
              </w:rPr>
              <w:t xml:space="preserve">For example, funding should be allocated at least against the following:</w:t>
            </w:r>
          </w:p>
          <w:p>
            <w:pPr>
              <w:pStyle w:val="ListParagraph"/>
              <w:numPr>
                <w:ilvl w:val="0"/>
                <w:numId w:val="2"/>
              </w:numPr>
            </w:pPr>
            <w:r>
              <w:rPr>
                <w:rStyle w:val="row-content"/>
              </w:rPr>
              <w:t xml:space="preserve">Accommodation support (1.01–1.08)</w:t>
            </w:r>
            <w:r>
              <w:br/>
            </w:r>
            <w:r>
              <w:rPr>
                <w:rStyle w:val="row-content"/>
              </w:rPr>
              <w:t xml:space="preserve">        • Institutional accommodation (1.01–1.03)</w:t>
            </w:r>
            <w:r>
              <w:br/>
            </w:r>
            <w:r>
              <w:rPr>
                <w:rStyle w:val="row-content"/>
              </w:rPr>
              <w:t xml:space="preserve">        • Group homes (1.04)</w:t>
            </w:r>
            <w:r>
              <w:br/>
            </w:r>
            <w:r>
              <w:rPr>
                <w:rStyle w:val="row-content"/>
              </w:rPr>
              <w:t xml:space="preserve">        • Other accommodation support (1.05–1.08) </w:t>
            </w:r>
          </w:p>
          <w:p>
            <w:pPr>
              <w:pStyle w:val="ListParagraph"/>
              <w:numPr>
                <w:ilvl w:val="0"/>
                <w:numId w:val="2"/>
              </w:numPr>
            </w:pPr>
            <w:r>
              <w:rPr>
                <w:rStyle w:val="row-content"/>
              </w:rPr>
              <w:t xml:space="preserve">Community Support (2.01–2.07)</w:t>
            </w:r>
          </w:p>
          <w:p>
            <w:pPr>
              <w:pStyle w:val="ListParagraph"/>
              <w:numPr>
                <w:ilvl w:val="0"/>
                <w:numId w:val="2"/>
              </w:numPr>
            </w:pPr>
            <w:r>
              <w:rPr>
                <w:rStyle w:val="row-content"/>
              </w:rPr>
              <w:t xml:space="preserve">Community Access (3.01–3.03)</w:t>
            </w:r>
          </w:p>
          <w:p>
            <w:pPr>
              <w:pStyle w:val="ListParagraph"/>
              <w:numPr>
                <w:ilvl w:val="0"/>
                <w:numId w:val="2"/>
              </w:numPr>
            </w:pPr>
            <w:r>
              <w:rPr>
                <w:rStyle w:val="row-content"/>
              </w:rPr>
              <w:t xml:space="preserve">Respite (4.01–4.05)</w:t>
            </w:r>
          </w:p>
          <w:p>
            <w:pPr>
              <w:pStyle w:val="ListParagraph"/>
              <w:numPr>
                <w:ilvl w:val="0"/>
                <w:numId w:val="2"/>
              </w:numPr>
            </w:pPr>
            <w:r>
              <w:rPr>
                <w:rStyle w:val="row-content"/>
              </w:rPr>
              <w:t xml:space="preserve">Employment (5.01–5.02)</w:t>
            </w:r>
          </w:p>
          <w:p>
            <w:pPr>
              <w:pStyle w:val="ListParagraph"/>
              <w:numPr>
                <w:ilvl w:val="0"/>
                <w:numId w:val="2"/>
              </w:numPr>
            </w:pPr>
            <w:r>
              <w:rPr>
                <w:rStyle w:val="row-content"/>
              </w:rPr>
              <w:t xml:space="preserve">Advocacy, information and alternative forms of communication (6.01–6.05)</w:t>
            </w:r>
          </w:p>
          <w:p>
            <w:pPr>
              <w:pStyle w:val="ListParagraph"/>
              <w:numPr>
                <w:ilvl w:val="0"/>
                <w:numId w:val="2"/>
              </w:numPr>
            </w:pPr>
            <w:r>
              <w:rPr>
                <w:rStyle w:val="row-content"/>
              </w:rPr>
              <w:t xml:space="preserve">Other Support Services (7.01–7.04)</w:t>
            </w:r>
          </w:p>
          <w:p>
            <w:pPr>
              <w:pStyle w:val="ListParagraph"/>
              <w:numPr>
                <w:ilvl w:val="0"/>
                <w:numId w:val="2"/>
              </w:numPr>
            </w:pPr>
            <w:r>
              <w:rPr>
                <w:rStyle w:val="row-content"/>
              </w:rPr>
              <w:t xml:space="preserve">Administration </w:t>
            </w:r>
          </w:p>
          <w:p>
            <w:pPr>
              <w:pStyle w:val="ListParagraph"/>
              <w:numPr>
                <w:ilvl w:val="0"/>
                <w:numId w:val="2"/>
              </w:numPr>
            </w:pPr>
            <w:r>
              <w:rPr>
                <w:rStyle w:val="row-content"/>
              </w:rPr>
              <w:t xml:space="preserve">Capital grants to non-government service providers.</w:t>
            </w:r>
          </w:p>
          <w:p>
            <w:r>
              <w:br/>
            </w:r>
            <w:r>
              <w:br/>
            </w:r>
            <w:hyperlink w:history="true" r:id="R865459d26cd04bfe">
              <w:r>
                <w:rPr>
                  <w:rStyle w:val="Hyperlink"/>
                </w:rPr>
                <w:t xml:space="preserve">Disability Services NMDS 2014-15</w:t>
              </w:r>
            </w:hyperlink>
          </w:p>
          <w:p>
            <w:pPr>
              <w:spacing w:before="0" w:after="0"/>
            </w:pPr>
            <w:r>
              <w:rPr>
                <w:rStyle w:val="row-content"/>
                <w:color w:val="244061"/>
              </w:rPr>
              <w:t xml:space="preserve">       </w:t>
            </w:r>
            <w:hyperlink w:history="true" r:id="R55791573dc7947ac">
              <w:r>
                <w:rPr>
                  <w:rStyle w:val="Hyperlink"/>
                  <w:color w:val="244061"/>
                </w:rPr>
                <w:t xml:space="preserve">Disability</w:t>
              </w:r>
            </w:hyperlink>
            <w:r>
              <w:rPr>
                <w:rStyle w:val="row-content"/>
                <w:color w:val="244061"/>
              </w:rPr>
              <w:t xml:space="preserve">, Superseded 29/02/2016</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DSS specific information: </w:t>
            </w:r>
          </w:p>
          <w:p>
            <w:r>
              <w:rPr>
                <w:rStyle w:val="row-content"/>
              </w:rPr>
              <w:t xml:space="preserve">National Disability Agreement (NDA) funding data should relate to the most recent financial year. This data element needs to be reported for all </w:t>
            </w:r>
            <w:hyperlink w:history="true" r:id="R16e8eeab421244f6">
              <w:r>
                <w:rPr>
                  <w:rStyle w:val="Hyperlink"/>
                </w:rPr>
                <w:t xml:space="preserve">services</w:t>
              </w:r>
            </w:hyperlink>
            <w:r>
              <w:rPr>
                <w:rStyle w:val="row-content"/>
              </w:rPr>
              <w:t xml:space="preserve"> funded under the NDA, both those delivered by government and non-government providers. Data provided should be consistent with that provided to the Productivity Commission for the NDA indicators, but should also include expenditure on specialist psychiatric disability services.</w:t>
            </w:r>
          </w:p>
          <w:p>
            <w:r>
              <w:rPr>
                <w:rStyle w:val="row-content"/>
              </w:rPr>
              <w:t xml:space="preserve">Where possible NDA funding data should be linked to service type outlet identification numbers. Where the funding information is not available at the </w:t>
            </w:r>
            <w:hyperlink w:history="true" r:id="R29245a3fb89b4dca">
              <w:r>
                <w:rPr>
                  <w:rStyle w:val="Hyperlink"/>
                </w:rPr>
                <w:t xml:space="preserve">service type outlet</w:t>
              </w:r>
            </w:hyperlink>
            <w:r>
              <w:rPr>
                <w:rStyle w:val="row-content"/>
              </w:rPr>
              <w:t xml:space="preserve"> level, funding departments are requested to allocate the funding information to broad service group level. Administrative expenditure and capital grants are to be provided on separate lines.</w:t>
            </w:r>
          </w:p>
          <w:p>
            <w:r>
              <w:rPr>
                <w:rStyle w:val="row-content"/>
              </w:rPr>
              <w:t xml:space="preserve">For example, funding should be allocated at least against the following:</w:t>
            </w:r>
          </w:p>
          <w:p>
            <w:pPr>
              <w:pStyle w:val="ListParagraph"/>
              <w:numPr>
                <w:ilvl w:val="0"/>
                <w:numId w:val="3"/>
              </w:numPr>
            </w:pPr>
            <w:r>
              <w:rPr>
                <w:rStyle w:val="row-content"/>
              </w:rPr>
              <w:t xml:space="preserve">Accommodation support (1.01–1.08)</w:t>
            </w:r>
            <w:r>
              <w:br/>
            </w:r>
            <w:r>
              <w:rPr>
                <w:rStyle w:val="row-content"/>
              </w:rPr>
              <w:t xml:space="preserve">        • Institutional accommodation (1.01–1.03)</w:t>
            </w:r>
            <w:r>
              <w:br/>
            </w:r>
            <w:r>
              <w:rPr>
                <w:rStyle w:val="row-content"/>
              </w:rPr>
              <w:t xml:space="preserve">        • Group homes (1.04)</w:t>
            </w:r>
            <w:r>
              <w:br/>
            </w:r>
            <w:r>
              <w:rPr>
                <w:rStyle w:val="row-content"/>
              </w:rPr>
              <w:t xml:space="preserve">        • Other accommodation support (1.05–1.08) </w:t>
            </w:r>
          </w:p>
          <w:p>
            <w:pPr>
              <w:pStyle w:val="ListParagraph"/>
              <w:numPr>
                <w:ilvl w:val="0"/>
                <w:numId w:val="3"/>
              </w:numPr>
            </w:pPr>
            <w:r>
              <w:rPr>
                <w:rStyle w:val="row-content"/>
              </w:rPr>
              <w:t xml:space="preserve">Community Support (2.01–2.07)</w:t>
            </w:r>
          </w:p>
          <w:p>
            <w:pPr>
              <w:pStyle w:val="ListParagraph"/>
              <w:numPr>
                <w:ilvl w:val="0"/>
                <w:numId w:val="3"/>
              </w:numPr>
            </w:pPr>
            <w:r>
              <w:rPr>
                <w:rStyle w:val="row-content"/>
              </w:rPr>
              <w:t xml:space="preserve">Community Access (3.01–3.03)</w:t>
            </w:r>
          </w:p>
          <w:p>
            <w:pPr>
              <w:pStyle w:val="ListParagraph"/>
              <w:numPr>
                <w:ilvl w:val="0"/>
                <w:numId w:val="3"/>
              </w:numPr>
            </w:pPr>
            <w:r>
              <w:rPr>
                <w:rStyle w:val="row-content"/>
              </w:rPr>
              <w:t xml:space="preserve">Respite (4.01–4.05)</w:t>
            </w:r>
          </w:p>
          <w:p>
            <w:pPr>
              <w:pStyle w:val="ListParagraph"/>
              <w:numPr>
                <w:ilvl w:val="0"/>
                <w:numId w:val="3"/>
              </w:numPr>
            </w:pPr>
            <w:r>
              <w:rPr>
                <w:rStyle w:val="row-content"/>
              </w:rPr>
              <w:t xml:space="preserve">Employment (5.01–5.02)</w:t>
            </w:r>
          </w:p>
          <w:p>
            <w:pPr>
              <w:pStyle w:val="ListParagraph"/>
              <w:numPr>
                <w:ilvl w:val="0"/>
                <w:numId w:val="3"/>
              </w:numPr>
            </w:pPr>
            <w:r>
              <w:rPr>
                <w:rStyle w:val="row-content"/>
              </w:rPr>
              <w:t xml:space="preserve">Advocacy, information and alternative forms of communication (6.01–6.05)</w:t>
            </w:r>
          </w:p>
          <w:p>
            <w:pPr>
              <w:pStyle w:val="ListParagraph"/>
              <w:numPr>
                <w:ilvl w:val="0"/>
                <w:numId w:val="3"/>
              </w:numPr>
            </w:pPr>
            <w:r>
              <w:rPr>
                <w:rStyle w:val="row-content"/>
              </w:rPr>
              <w:t xml:space="preserve">Other Support Services (7.01–7.04)</w:t>
            </w:r>
          </w:p>
          <w:p>
            <w:pPr>
              <w:pStyle w:val="ListParagraph"/>
              <w:numPr>
                <w:ilvl w:val="0"/>
                <w:numId w:val="3"/>
              </w:numPr>
            </w:pPr>
            <w:r>
              <w:rPr>
                <w:rStyle w:val="row-content"/>
              </w:rPr>
              <w:t xml:space="preserve">Administration </w:t>
            </w:r>
          </w:p>
          <w:p>
            <w:pPr>
              <w:pStyle w:val="ListParagraph"/>
              <w:numPr>
                <w:ilvl w:val="0"/>
                <w:numId w:val="3"/>
              </w:numPr>
            </w:pPr>
            <w:r>
              <w:rPr>
                <w:rStyle w:val="row-content"/>
              </w:rPr>
              <w:t xml:space="preserve">Capital grants to non-government service providers.</w:t>
            </w:r>
          </w:p>
          <w:p>
            <w:r>
              <w:br/>
            </w:r>
            <w:r>
              <w:br/>
            </w:r>
            <w:hyperlink w:history="true" r:id="R4cf8e7c8993f47ab">
              <w:r>
                <w:rPr>
                  <w:rStyle w:val="Hyperlink"/>
                </w:rPr>
                <w:t xml:space="preserve">Disability services provider details cluster</w:t>
              </w:r>
            </w:hyperlink>
          </w:p>
          <w:p>
            <w:pPr>
              <w:spacing w:before="0" w:after="0"/>
            </w:pPr>
            <w:r>
              <w:rPr>
                <w:rStyle w:val="row-content"/>
                <w:color w:val="244061"/>
              </w:rPr>
              <w:t xml:space="preserve">       </w:t>
            </w:r>
            <w:hyperlink w:history="true" r:id="R423933179ca0453b">
              <w:r>
                <w:rPr>
                  <w:rStyle w:val="Hyperlink"/>
                  <w:color w:val="244061"/>
                </w:rPr>
                <w:t xml:space="preserve">Disability</w:t>
              </w:r>
            </w:hyperlink>
            <w:r>
              <w:rPr>
                <w:rStyle w:val="row-content"/>
                <w:color w:val="244061"/>
              </w:rPr>
              <w:t xml:space="preserve">, Standard 13/08/2015</w:t>
            </w:r>
          </w:p>
          <w:p>
            <w:r>
              <w:br/>
            </w:r>
            <w:hyperlink w:history="true" r:id="R7ce1322510444bb4">
              <w:r>
                <w:rPr>
                  <w:rStyle w:val="Hyperlink"/>
                </w:rPr>
                <w:t xml:space="preserve">Disability services provider details cluster</w:t>
              </w:r>
            </w:hyperlink>
          </w:p>
          <w:p>
            <w:pPr>
              <w:spacing w:before="0" w:after="0"/>
            </w:pPr>
            <w:r>
              <w:rPr>
                <w:rStyle w:val="row-content"/>
                <w:color w:val="244061"/>
              </w:rPr>
              <w:t xml:space="preserve">       </w:t>
            </w:r>
            <w:hyperlink w:history="true" r:id="Rfbb3e7efe42b4173">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26f21615b43245a5">
              <w:r>
                <w:rPr>
                  <w:rStyle w:val="Hyperlink"/>
                  <w:color w:val="244061"/>
                </w:rPr>
                <w:t xml:space="preserve">Disability</w:t>
              </w:r>
            </w:hyperlink>
            <w:r>
              <w:rPr>
                <w:rStyle w:val="row-content"/>
                <w:color w:val="244061"/>
              </w:rPr>
              <w:t xml:space="preserve">, Superseded 13/08/2015</w:t>
            </w:r>
          </w:p>
          <w:p>
            <w:r>
              <w:br/>
            </w:r>
            <w:hyperlink w:history="true" r:id="Rf5f203838175438d">
              <w:r>
                <w:rPr>
                  <w:rStyle w:val="Hyperlink"/>
                </w:rPr>
                <w:t xml:space="preserve">Specialist Homelessness Establishment Database - SHED</w:t>
              </w:r>
            </w:hyperlink>
          </w:p>
          <w:p>
            <w:pPr>
              <w:spacing w:before="0" w:after="0"/>
            </w:pPr>
            <w:r>
              <w:rPr>
                <w:rStyle w:val="row-content"/>
                <w:color w:val="244061"/>
              </w:rPr>
              <w:t xml:space="preserve">       </w:t>
            </w:r>
            <w:hyperlink w:history="true" r:id="R60d8b5daf31a4a27">
              <w:r>
                <w:rPr>
                  <w:rStyle w:val="Hyperlink"/>
                  <w:color w:val="244061"/>
                </w:rPr>
                <w:t xml:space="preserve">Housing assistance</w:t>
              </w:r>
            </w:hyperlink>
            <w:r>
              <w:rPr>
                <w:rStyle w:val="row-content"/>
                <w:color w:val="244061"/>
              </w:rPr>
              <w:t xml:space="preserve">, Recorded 14/10/2010</w:t>
            </w:r>
          </w:p>
          <w:p>
            <w:r>
              <w:rPr>
                <w:rStyle w:val="row-content"/>
                <w:b/>
                <w:i/>
              </w:rPr>
              <w:t xml:space="preserve">DSS specific information: </w:t>
            </w:r>
          </w:p>
          <w:p>
            <w:r>
              <w:rPr>
                <w:rStyle w:val="row-content"/>
              </w:rPr>
              <w:t xml:space="preserve">This item will be collected of an agency.</w:t>
            </w:r>
          </w:p>
          <w:p>
            <w:r>
              <w:br/>
            </w:r>
            <w:r>
              <w:br/>
            </w:r>
          </w:p>
        </w:tc>
      </w:tr>
    </w:tbl>
    <w:p/>
    <w:tbl>
      <w:tblPr>
        <w:tblStyle w:val="TableGrid"/>
        <w:tblW w:w="0" w:type="auto"/>
      </w:tblPr>
    </w:tbl>
    <w:p>
      <w:r>
        <w:br/>
      </w:r>
    </w:p>
    <w:sectPr>
      <w:footerReference xmlns:r="http://schemas.openxmlformats.org/officeDocument/2006/relationships" w:type="default" r:id="Rc22309591017419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321039</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b906f83dba7478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22309591017419e" /><Relationship Type="http://schemas.openxmlformats.org/officeDocument/2006/relationships/header" Target="/word/header1.xml" Id="R5370ec4173af4c52" /><Relationship Type="http://schemas.openxmlformats.org/officeDocument/2006/relationships/settings" Target="/word/settings.xml" Id="Rd70d5ec3735f41b0" /><Relationship Type="http://schemas.openxmlformats.org/officeDocument/2006/relationships/styles" Target="/word/styles.xml" Id="Rbfd3cd27603f4ef7" /><Relationship Type="http://schemas.openxmlformats.org/officeDocument/2006/relationships/hyperlink" Target="https://meteor.aihw.gov.au/RegistrationAuthority/1" TargetMode="External" Id="Rdf9bbddc7a7941c0" /><Relationship Type="http://schemas.openxmlformats.org/officeDocument/2006/relationships/hyperlink" Target="https://meteor.aihw.gov.au/RegistrationAuthority/16" TargetMode="External" Id="R6bf40babff604999" /><Relationship Type="http://schemas.openxmlformats.org/officeDocument/2006/relationships/hyperlink" Target="https://meteor.aihw.gov.au/content/342642" TargetMode="External" Id="R9d48a0c0df1f40e3" /><Relationship Type="http://schemas.openxmlformats.org/officeDocument/2006/relationships/hyperlink" Target="https://meteor.aihw.gov.au/content/270563" TargetMode="External" Id="R24f13722a77841c7" /><Relationship Type="http://schemas.openxmlformats.org/officeDocument/2006/relationships/hyperlink" Target="https://meteor.aihw.gov.au/content/317350" TargetMode="External" Id="R5da15541bf12448d" /><Relationship Type="http://schemas.openxmlformats.org/officeDocument/2006/relationships/hyperlink" Target="https://meteor.aihw.gov.au/RegistrationAuthority/1" TargetMode="External" Id="R4ee3bc513b274da6" /><Relationship Type="http://schemas.openxmlformats.org/officeDocument/2006/relationships/hyperlink" Target="https://meteor.aihw.gov.au/content/372123" TargetMode="External" Id="R6a7c9035190e4dc0" /><Relationship Type="http://schemas.openxmlformats.org/officeDocument/2006/relationships/hyperlink" Target="https://meteor.aihw.gov.au/RegistrationAuthority/1" TargetMode="External" Id="Rfd4d651fad4845ee" /><Relationship Type="http://schemas.openxmlformats.org/officeDocument/2006/relationships/hyperlink" Target="https://meteor.aihw.gov.au/content/386485" TargetMode="External" Id="R97911974e6134f86" /><Relationship Type="http://schemas.openxmlformats.org/officeDocument/2006/relationships/hyperlink" Target="https://meteor.aihw.gov.au/RegistrationAuthority/1" TargetMode="External" Id="Rc8e0fa61d8ed4f25" /><Relationship Type="http://schemas.openxmlformats.org/officeDocument/2006/relationships/hyperlink" Target="https://meteor.aihw.gov.au/content/428708" TargetMode="External" Id="Rd9163173e1fe4290" /><Relationship Type="http://schemas.openxmlformats.org/officeDocument/2006/relationships/hyperlink" Target="https://meteor.aihw.gov.au/RegistrationAuthority/1" TargetMode="External" Id="Rc24dad74044b4cca" /><Relationship Type="http://schemas.openxmlformats.org/officeDocument/2006/relationships/hyperlink" Target="https://meteor.aihw.gov.au/content/461636" TargetMode="External" Id="R28bccf662dc94541" /><Relationship Type="http://schemas.openxmlformats.org/officeDocument/2006/relationships/hyperlink" Target="https://meteor.aihw.gov.au/RegistrationAuthority/1" TargetMode="External" Id="R87cf333248464857" /><Relationship Type="http://schemas.openxmlformats.org/officeDocument/2006/relationships/hyperlink" Target="https://meteor.aihw.gov.au/content/461640" TargetMode="External" Id="R9307a4dfc17740db" /><Relationship Type="http://schemas.openxmlformats.org/officeDocument/2006/relationships/hyperlink" Target="https://meteor.aihw.gov.au/RegistrationAuthority/1" TargetMode="External" Id="Rdc49a140de534753" /><Relationship Type="http://schemas.openxmlformats.org/officeDocument/2006/relationships/hyperlink" Target="https://meteor.aihw.gov.au/content/500887" TargetMode="External" Id="R76b5bf33cceb4890" /><Relationship Type="http://schemas.openxmlformats.org/officeDocument/2006/relationships/hyperlink" Target="https://meteor.aihw.gov.au/content/501967" TargetMode="External" Id="Reab46cdcb98a4efe" /><Relationship Type="http://schemas.openxmlformats.org/officeDocument/2006/relationships/hyperlink" Target="https://meteor.aihw.gov.au/content/501973" TargetMode="External" Id="R11619ad4157a4785" /><Relationship Type="http://schemas.openxmlformats.org/officeDocument/2006/relationships/numbering" Target="/word/numbering.xml" Id="R0ee450d9bfd1491b" /><Relationship Type="http://schemas.openxmlformats.org/officeDocument/2006/relationships/hyperlink" Target="https://meteor.aihw.gov.au/content/569749" TargetMode="External" Id="R865459d26cd04bfe" /><Relationship Type="http://schemas.openxmlformats.org/officeDocument/2006/relationships/hyperlink" Target="https://meteor.aihw.gov.au/RegistrationAuthority/16" TargetMode="External" Id="R55791573dc7947ac" /><Relationship Type="http://schemas.openxmlformats.org/officeDocument/2006/relationships/hyperlink" Target="https://meteor.aihw.gov.au/content/500887" TargetMode="External" Id="R16e8eeab421244f6" /><Relationship Type="http://schemas.openxmlformats.org/officeDocument/2006/relationships/hyperlink" Target="https://meteor.aihw.gov.au/content/501973" TargetMode="External" Id="R29245a3fb89b4dca" /><Relationship Type="http://schemas.openxmlformats.org/officeDocument/2006/relationships/hyperlink" Target="https://meteor.aihw.gov.au/content/617065" TargetMode="External" Id="R4cf8e7c8993f47ab" /><Relationship Type="http://schemas.openxmlformats.org/officeDocument/2006/relationships/hyperlink" Target="https://meteor.aihw.gov.au/RegistrationAuthority/16" TargetMode="External" Id="R423933179ca0453b" /><Relationship Type="http://schemas.openxmlformats.org/officeDocument/2006/relationships/hyperlink" Target="https://meteor.aihw.gov.au/content/484554" TargetMode="External" Id="R7ce1322510444bb4" /><Relationship Type="http://schemas.openxmlformats.org/officeDocument/2006/relationships/hyperlink" Target="https://meteor.aihw.gov.au/RegistrationAuthority/1" TargetMode="External" Id="Rfbb3e7efe42b4173" /><Relationship Type="http://schemas.openxmlformats.org/officeDocument/2006/relationships/hyperlink" Target="https://meteor.aihw.gov.au/RegistrationAuthority/16" TargetMode="External" Id="R26f21615b43245a5" /><Relationship Type="http://schemas.openxmlformats.org/officeDocument/2006/relationships/hyperlink" Target="https://meteor.aihw.gov.au/content/413035" TargetMode="External" Id="Rf5f203838175438d" /><Relationship Type="http://schemas.openxmlformats.org/officeDocument/2006/relationships/hyperlink" Target="https://meteor.aihw.gov.au/RegistrationAuthority/11" TargetMode="External" Id="R60d8b5daf31a4a27" /></Relationships>
</file>

<file path=word/_rels/header1.xml.rels>&#65279;<?xml version="1.0" encoding="utf-8"?><Relationships xmlns="http://schemas.openxmlformats.org/package/2006/relationships"><Relationship Type="http://schemas.openxmlformats.org/officeDocument/2006/relationships/image" Target="/media/image.png" Id="Rfb906f83dba74788" /></Relationships>
</file>