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b7deb1b28549c7" /></Relationships>
</file>

<file path=word/document.xml><?xml version="1.0" encoding="utf-8"?>
<w:document xmlns:r="http://schemas.openxmlformats.org/officeDocument/2006/relationships" xmlns:w="http://schemas.openxmlformats.org/wordprocessingml/2006/main">
  <w:body>
    <w:p>
      <w:pPr>
        <w:pStyle w:val="Title"/>
      </w:pPr>
      <w:r>
        <w:t>Service provider organisation—income tax exempt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organisation—income tax exempt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Tax exempt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sector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38f4843ca74072">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3eb1763631a141c1">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organisation or agency has been assessed as income tax exempt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e7fe68ff724daf">
              <w:r>
                <w:rPr>
                  <w:rStyle w:val="Hyperlink"/>
                </w:rPr>
                <w:t xml:space="preserve">Service provider organisation—tax exempt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e07b7436b3432c">
              <w:r>
                <w:rPr>
                  <w:rStyle w:val="Hyperlink"/>
                </w:rPr>
                <w:t xml:space="preserve">Income tax exempt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Income tax exempt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Non-income tax exempt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Income tax exempt</w:t>
            </w:r>
          </w:p>
          <w:p>
            <w:pPr>
              <w:spacing w:after="160"/>
            </w:pPr>
            <w:r>
              <w:rPr>
                <w:rStyle w:val="row-content-rich-text"/>
              </w:rPr>
              <w:t xml:space="preserve">Income Tax Exempt organisation has been endorsed by the Australian Taxation Office as exempt from income tax. As well as being exempt from paying income tax, an Income Tax Exempt organisation does not have to lodge income tax returns unless specifically requested to do so by the Australian Taxation Office (</w:t>
            </w:r>
            <w:hyperlink w:history="true" r:id="Rdae53ae97e604d0a">
              <w:r>
                <w:rPr>
                  <w:rStyle w:val="Hyperlink"/>
                </w:rPr>
                <w:t xml:space="preserve">www.ato.gov.au</w:t>
              </w:r>
            </w:hyperlink>
            <w:r>
              <w:rPr>
                <w:rStyle w:val="row-content-rich-text"/>
              </w:rPr>
              <w:t xml:space="preserve">).</w:t>
            </w:r>
          </w:p>
          <w:p>
            <w:pPr>
              <w:spacing w:after="160"/>
            </w:pPr>
            <w:r>
              <w:rPr>
                <w:rStyle w:val="row-content-rich-text"/>
              </w:rPr>
              <w:t xml:space="preserve"> </w:t>
            </w:r>
          </w:p>
          <w:p>
            <w:pPr>
              <w:spacing w:after="160"/>
            </w:pPr>
            <w:r>
              <w:rPr>
                <w:rStyle w:val="row-content-rich-text"/>
              </w:rPr>
              <w:t xml:space="preserve">CODE 2     Non-income tax exempt</w:t>
            </w:r>
          </w:p>
          <w:p>
            <w:pPr/>
            <w:r>
              <w:rPr>
                <w:rStyle w:val="row-content-rich-text"/>
              </w:rPr>
              <w:t xml:space="preserve">Organisation that are not endorsed by the Australian Taxation Office as being exempt from paying income tax are classified as non-income tax exempt.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Charities are not automatically exempt from income tax. There is an endorsement system under which they should apply to the Australian Tax Office to be endorsed as income tax exempt.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c6de5df69b84919">
              <w:r>
                <w:rPr>
                  <w:rStyle w:val="Hyperlink"/>
                </w:rPr>
                <w:t xml:space="preserve">Service provider organisation—income tax exempt indicator, code N</w:t>
              </w:r>
            </w:hyperlink>
          </w:p>
          <w:p>
            <w:pPr>
              <w:spacing w:before="0" w:after="0"/>
            </w:pPr>
            <w:r>
              <w:rPr>
                <w:rStyle w:val="row-content"/>
                <w:color w:val="244061"/>
              </w:rPr>
              <w:t xml:space="preserve">       </w:t>
            </w:r>
            <w:hyperlink w:history="true" r:id="R50e82b6274a34d7f">
              <w:r>
                <w:rPr>
                  <w:rStyle w:val="Hyperlink"/>
                  <w:color w:val="244061"/>
                </w:rPr>
                <w:t xml:space="preserve">Disability</w:t>
              </w:r>
            </w:hyperlink>
            <w:r>
              <w:rPr>
                <w:rStyle w:val="row-content"/>
                <w:color w:val="244061"/>
              </w:rPr>
              <w:t xml:space="preserve">, Standard 29/02/2016</w:t>
            </w:r>
          </w:p>
          <w:p>
            <w:r>
              <w:br/>
            </w:r>
            <w:r>
              <w:rPr>
                <w:rStyle w:val="row-content"/>
              </w:rPr>
              <w:t xml:space="preserve">See also </w:t>
            </w:r>
            <w:hyperlink w:history="true" r:id="R99ebc7025e4f4278">
              <w:r>
                <w:rPr>
                  <w:rStyle w:val="Hyperlink"/>
                </w:rPr>
                <w:t xml:space="preserve">Service provider organisation—sector, code N</w:t>
              </w:r>
            </w:hyperlink>
          </w:p>
          <w:p>
            <w:pPr>
              <w:spacing w:before="0" w:after="0"/>
            </w:pPr>
            <w:r>
              <w:rPr>
                <w:rStyle w:val="row-content"/>
                <w:color w:val="244061"/>
              </w:rPr>
              <w:t xml:space="preserve">       </w:t>
            </w:r>
            <w:hyperlink w:history="true" r:id="Rec56ab4428cf4716">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837bded4bb004e04">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174b7675e64d5f">
              <w:r>
                <w:rPr>
                  <w:rStyle w:val="Hyperlink"/>
                </w:rPr>
                <w:t xml:space="preserve">Agency sector cluster</w:t>
              </w:r>
            </w:hyperlink>
          </w:p>
          <w:p>
            <w:pPr>
              <w:spacing w:before="0" w:after="0"/>
            </w:pPr>
            <w:r>
              <w:rPr>
                <w:rStyle w:val="row-content"/>
                <w:color w:val="244061"/>
              </w:rPr>
              <w:t xml:space="preserve">       </w:t>
            </w:r>
            <w:hyperlink w:history="true" r:id="R9b9a510b2af944ab">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66ed8257d32e4a78">
              <w:r>
                <w:rPr>
                  <w:rStyle w:val="Hyperlink"/>
                  <w:color w:val="244061"/>
                </w:rPr>
                <w:t xml:space="preserve">Disability</w:t>
              </w:r>
            </w:hyperlink>
            <w:r>
              <w:rPr>
                <w:rStyle w:val="row-content"/>
                <w:color w:val="244061"/>
              </w:rPr>
              <w:t xml:space="preserve">, Superseded 29/02/2016</w:t>
            </w:r>
          </w:p>
          <w:p>
            <w:r>
              <w:rPr>
                <w:rStyle w:val="row-content"/>
                <w:b/>
                <w:i/>
              </w:rPr>
              <w:t xml:space="preserve">Conditional obligation: </w:t>
            </w:r>
            <w:r>
              <w:rPr>
                <w:rStyle w:val="row-content"/>
              </w:rPr>
              <w:t xml:space="preserve">In the Disability Service National Minimum Data Set (DS NMDS), only service type outlets in the non-government sector are required to provide a response to the data element </w:t>
            </w:r>
            <w:hyperlink w:history="true" r:id="Ra1a35e41b2604b68">
              <w:r>
                <w:rPr>
                  <w:rStyle w:val="Hyperlink"/>
                </w:rPr>
                <w:t xml:space="preserve">Service provider organisation—income tax exempt indicator, code N</w:t>
              </w:r>
            </w:hyperlink>
            <w:r>
              <w:rPr>
                <w:rStyle w:val="row-content"/>
              </w:rPr>
              <w:t xml:space="preserve">.</w:t>
            </w:r>
            <w:r>
              <w:br/>
            </w:r>
            <w:r>
              <w:br/>
            </w:r>
            <w:hyperlink w:history="true" r:id="R1772d8d46cc74471">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5ad6fc49f6134769">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Conditional obligation: </w:t>
            </w:r>
            <w:r>
              <w:rPr>
                <w:rStyle w:val="row-content"/>
              </w:rPr>
              <w:t xml:space="preserve">'Non-government' must be selected as the sector type of the service type outlet.</w:t>
            </w:r>
            <w:r>
              <w:br/>
            </w:r>
            <w:r>
              <w:rPr>
                <w:rStyle w:val="row-content"/>
                <w:b/>
                <w:i/>
              </w:rPr>
              <w:t xml:space="preserve">DSS specific information: </w:t>
            </w:r>
          </w:p>
          <w:p>
            <w:r>
              <w:rPr>
                <w:rStyle w:val="row-content"/>
              </w:rPr>
              <w:t xml:space="preserve">This data element should be reported by funding departments in relation to all non-government service type outlets.</w:t>
            </w:r>
          </w:p>
          <w:p>
            <w:r>
              <w:rPr>
                <w:rStyle w:val="row-content"/>
              </w:rPr>
              <w:t xml:space="preserve">Where a </w:t>
            </w:r>
            <w:hyperlink w:tooltip="A service type outlet is the unit of the funded agency that delivers a particular CSTDA service type at or from a discrete location. If a funded agency provides, say, both accommodation support and respite services, it is counted as two service type ou..." w:history="true" r:id="R98eab203568948ff">
              <w:r>
                <w:rPr>
                  <w:rStyle w:val="Hyperlink"/>
                  <w:b/>
                </w:rPr>
                <w:t xml:space="preserve">service type outlet </w:t>
              </w:r>
            </w:hyperlink>
            <w:r>
              <w:rPr>
                <w:rStyle w:val="row-content"/>
              </w:rPr>
              <w:t xml:space="preserve">has a formal relationship with a </w:t>
            </w:r>
            <w:hyperlink w:tooltip="A funded agency is usually a legal entity providing one or more types of CSTDA-funded service types to CSTDA users at one or more different locations. The organisational unit that delivers a single service type at or from a discrete location is describ..." w:history="true" r:id="R9baeafca1eeb481f">
              <w:r>
                <w:rPr>
                  <w:rStyle w:val="Hyperlink"/>
                  <w:b/>
                </w:rPr>
                <w:t xml:space="preserve">CSTDA funded agency </w:t>
              </w:r>
            </w:hyperlink>
            <w:r>
              <w:rPr>
                <w:rStyle w:val="row-content"/>
              </w:rPr>
              <w:t xml:space="preserve">then the government/non-government sector of the funded agency should generally be recorded.</w:t>
            </w:r>
          </w:p>
          <w:p>
            <w:r>
              <w:rPr>
                <w:rStyle w:val="row-content"/>
              </w:rPr>
              <w:t xml:space="preserve">This data element is used in conjunction with the level of government to determine the type of government or non-government sector (agency sector) to which the funded agency (or service type outlet) belongs.</w:t>
            </w:r>
          </w:p>
          <w:p>
            <w:r>
              <w:br/>
            </w:r>
            <w:r>
              <w:br/>
            </w:r>
            <w:hyperlink w:history="true" r:id="Rb8f5d1e8be7e46ed">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f8ad91fd1e3443f3">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Conditional obligation: </w:t>
            </w:r>
            <w:r>
              <w:rPr>
                <w:rStyle w:val="row-content"/>
              </w:rPr>
              <w:t xml:space="preserve">'Non-government' must be selected as the sector type of the service type outlet.</w:t>
            </w:r>
            <w:r>
              <w:br/>
            </w:r>
            <w:r>
              <w:rPr>
                <w:rStyle w:val="row-content"/>
                <w:b/>
                <w:i/>
              </w:rPr>
              <w:t xml:space="preserve">DSS specific information: </w:t>
            </w:r>
          </w:p>
          <w:p>
            <w:r>
              <w:rPr>
                <w:rStyle w:val="row-content"/>
              </w:rPr>
              <w:t xml:space="preserve">This data element should be reported by funding departments in relation to all non-government service type outlets.</w:t>
            </w:r>
          </w:p>
          <w:p>
            <w:r>
              <w:rPr>
                <w:rStyle w:val="row-content"/>
              </w:rPr>
              <w:t xml:space="preserve">Where a </w:t>
            </w:r>
            <w:hyperlink w:tooltip="A service type outlet is the unit of the funded agency that delivers a particular CSTDA service type at or from a discrete location. If a funded agency provides, say, both accommodation support and respite services, it is counted as two service type ou..." w:history="true" r:id="Rf1cbcc47b07b4d5a">
              <w:r>
                <w:rPr>
                  <w:rStyle w:val="Hyperlink"/>
                  <w:b/>
                </w:rPr>
                <w:t xml:space="preserve">service type outlet </w:t>
              </w:r>
            </w:hyperlink>
            <w:r>
              <w:rPr>
                <w:rStyle w:val="row-content"/>
              </w:rPr>
              <w:t xml:space="preserve">has a formal relationship with a </w:t>
            </w:r>
            <w:hyperlink w:tooltip="A funded agency is usually a legal entity providing one or more types of CSTDA-funded service types to CSTDA users at one or more different locations. The organisational unit that delivers a single service type at or from a discrete location is describ..." w:history="true" r:id="Re0c235e7c60541ef">
              <w:r>
                <w:rPr>
                  <w:rStyle w:val="Hyperlink"/>
                  <w:b/>
                </w:rPr>
                <w:t xml:space="preserve">CSTDA funded agency </w:t>
              </w:r>
            </w:hyperlink>
            <w:r>
              <w:rPr>
                <w:rStyle w:val="row-content"/>
              </w:rPr>
              <w:t xml:space="preserve">then the government/non-government sector of the funded agency should generally be recorded.</w:t>
            </w:r>
          </w:p>
          <w:p>
            <w:r>
              <w:rPr>
                <w:rStyle w:val="row-content"/>
              </w:rPr>
              <w:t xml:space="preserve">This data element is used in conjunction with the level of government to determine the type of government or non-government sector (agency sector) to which the funded agency (or service type outlet) belongs.</w:t>
            </w:r>
          </w:p>
          <w:p>
            <w:r>
              <w:br/>
            </w:r>
            <w:r>
              <w:br/>
            </w:r>
            <w:hyperlink w:history="true" r:id="R5747b0a0f7f947b6">
              <w:r>
                <w:rPr>
                  <w:rStyle w:val="Hyperlink"/>
                </w:rPr>
                <w:t xml:space="preserve">Disability Services NMDS 2009-10</w:t>
              </w:r>
            </w:hyperlink>
          </w:p>
          <w:p>
            <w:pPr>
              <w:spacing w:before="0" w:after="0"/>
            </w:pPr>
            <w:r>
              <w:rPr>
                <w:rStyle w:val="row-content"/>
                <w:color w:val="244061"/>
              </w:rPr>
              <w:t xml:space="preserve">       </w:t>
            </w:r>
            <w:hyperlink w:history="true" r:id="R8158d0560a26441b">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Conditional obligation: </w:t>
            </w:r>
          </w:p>
          <w:p>
            <w:r>
              <w:rPr>
                <w:rStyle w:val="row-content"/>
              </w:rPr>
              <w:t xml:space="preserve">'Non-government' must be selected as the sector type of the service type outlet.</w:t>
            </w:r>
          </w:p>
          <w:p>
            <w:r>
              <w:br/>
            </w:r>
            <w:r>
              <w:rPr>
                <w:rStyle w:val="row-content"/>
                <w:b/>
                <w:i/>
              </w:rPr>
              <w:t xml:space="preserve">DSS specific information: </w:t>
            </w:r>
          </w:p>
          <w:p>
            <w:r>
              <w:rPr>
                <w:rStyle w:val="row-content"/>
                <w:b/>
              </w:rPr>
              <w:t xml:space="preserve">Information specific to this data set:</w:t>
            </w:r>
          </w:p>
          <w:p>
            <w:r>
              <w:rPr>
                <w:rStyle w:val="row-content"/>
              </w:rPr>
              <w:t xml:space="preserve">This data element should be reported by funding departments in relation to all non-government service type outlets.</w:t>
            </w:r>
          </w:p>
          <w:p>
            <w:r>
              <w:rPr>
                <w:rStyle w:val="row-content"/>
              </w:rPr>
              <w:t xml:space="preserve">Where a </w:t>
            </w:r>
            <w:r>
              <w:rPr>
                <w:rStyle w:val="row-content"/>
                <w:b/>
              </w:rPr>
              <w:t xml:space="preserve">service type outlet </w:t>
            </w:r>
            <w:r>
              <w:rPr>
                <w:rStyle w:val="row-content"/>
              </w:rPr>
              <w:t xml:space="preserve">has a formal relationship with a </w:t>
            </w:r>
            <w:r>
              <w:rPr>
                <w:rStyle w:val="row-content"/>
                <w:b/>
              </w:rPr>
              <w:t xml:space="preserve">NDA funded agency </w:t>
            </w:r>
            <w:r>
              <w:rPr>
                <w:rStyle w:val="row-content"/>
              </w:rPr>
              <w:t xml:space="preserve">then the government/non-government sector of the funded agency should generally be recorded.</w:t>
            </w:r>
          </w:p>
          <w:p>
            <w:r>
              <w:rPr>
                <w:rStyle w:val="row-content"/>
              </w:rPr>
              <w:t xml:space="preserve">This data element is used in conjunction with the level of government to determine the type of government or non-government sector (agency sector) to which the funded agency (or service type outlet) belongs.</w:t>
            </w:r>
          </w:p>
          <w:p>
            <w:r>
              <w:br/>
            </w:r>
            <w:r>
              <w:br/>
            </w:r>
            <w:hyperlink w:history="true" r:id="Rd2bcc6cf36f34362">
              <w:r>
                <w:rPr>
                  <w:rStyle w:val="Hyperlink"/>
                </w:rPr>
                <w:t xml:space="preserve">Disability Services NMDS 2010-11</w:t>
              </w:r>
            </w:hyperlink>
          </w:p>
          <w:p>
            <w:pPr>
              <w:spacing w:before="0" w:after="0"/>
            </w:pPr>
            <w:r>
              <w:rPr>
                <w:rStyle w:val="row-content"/>
                <w:color w:val="244061"/>
              </w:rPr>
              <w:t xml:space="preserve">       </w:t>
            </w:r>
            <w:hyperlink w:history="true" r:id="R25f314ee424e4700">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Conditional obligation: </w:t>
            </w:r>
          </w:p>
          <w:p>
            <w:r>
              <w:rPr>
                <w:rStyle w:val="row-content"/>
              </w:rPr>
              <w:t xml:space="preserve">'Non-government' must be selected as the sector type of the service type outlet.</w:t>
            </w:r>
          </w:p>
          <w:p>
            <w:r>
              <w:br/>
            </w:r>
            <w:r>
              <w:rPr>
                <w:rStyle w:val="row-content"/>
                <w:b/>
                <w:i/>
              </w:rPr>
              <w:t xml:space="preserve">DSS specific information: </w:t>
            </w:r>
          </w:p>
          <w:p>
            <w:r>
              <w:rPr>
                <w:rStyle w:val="row-content"/>
                <w:b/>
              </w:rPr>
              <w:t xml:space="preserve">Information specific to this data set:</w:t>
            </w:r>
          </w:p>
          <w:p>
            <w:r>
              <w:rPr>
                <w:rStyle w:val="row-content"/>
              </w:rPr>
              <w:t xml:space="preserve">This data element should be reported by funding departments in relation to all non-government service type outlets.</w:t>
            </w:r>
          </w:p>
          <w:p>
            <w:r>
              <w:rPr>
                <w:rStyle w:val="row-content"/>
              </w:rPr>
              <w:t xml:space="preserve">Where a </w:t>
            </w:r>
            <w:r>
              <w:rPr>
                <w:rStyle w:val="row-content"/>
                <w:b/>
              </w:rPr>
              <w:t xml:space="preserve">service type outlet </w:t>
            </w:r>
            <w:r>
              <w:rPr>
                <w:rStyle w:val="row-content"/>
              </w:rPr>
              <w:t xml:space="preserve">has a formal relationship with a </w:t>
            </w:r>
            <w:r>
              <w:rPr>
                <w:rStyle w:val="row-content"/>
                <w:b/>
              </w:rPr>
              <w:t xml:space="preserve">NDA funded agency </w:t>
            </w:r>
            <w:r>
              <w:rPr>
                <w:rStyle w:val="row-content"/>
              </w:rPr>
              <w:t xml:space="preserve">then the government/non-government sector of the funded agency should generally be recorded.</w:t>
            </w:r>
          </w:p>
          <w:p>
            <w:r>
              <w:rPr>
                <w:rStyle w:val="row-content"/>
              </w:rPr>
              <w:t xml:space="preserve">This data element is used in conjunction with the level of government to determine the type of government or non-government sector (agency sector) to which the funded agency (or service type outlet) belongs.</w:t>
            </w:r>
          </w:p>
          <w:p>
            <w:r>
              <w:br/>
            </w:r>
            <w:r>
              <w:br/>
            </w:r>
            <w:hyperlink w:history="true" r:id="Rbd7a308d80034e50">
              <w:r>
                <w:rPr>
                  <w:rStyle w:val="Hyperlink"/>
                </w:rPr>
                <w:t xml:space="preserve">Disability Services NMDS 2011-12</w:t>
              </w:r>
            </w:hyperlink>
          </w:p>
          <w:p>
            <w:pPr>
              <w:spacing w:before="0" w:after="0"/>
            </w:pPr>
            <w:r>
              <w:rPr>
                <w:rStyle w:val="row-content"/>
                <w:color w:val="244061"/>
              </w:rPr>
              <w:t xml:space="preserve">       </w:t>
            </w:r>
            <w:hyperlink w:history="true" r:id="Rd6d44138683044ce">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Conditional obligation: </w:t>
            </w:r>
          </w:p>
          <w:p>
            <w:r>
              <w:rPr>
                <w:rStyle w:val="row-content"/>
              </w:rPr>
              <w:t xml:space="preserve">'Non-government' must be selected as the sector type of the service type outlet.</w:t>
            </w:r>
          </w:p>
          <w:p>
            <w:r>
              <w:br/>
            </w:r>
            <w:r>
              <w:rPr>
                <w:rStyle w:val="row-content"/>
                <w:b/>
                <w:i/>
              </w:rPr>
              <w:t xml:space="preserve">DSS specific information: </w:t>
            </w:r>
          </w:p>
          <w:p>
            <w:r>
              <w:rPr>
                <w:rStyle w:val="row-content"/>
                <w:b/>
              </w:rPr>
              <w:t xml:space="preserve">Information specific to this data set:</w:t>
            </w:r>
          </w:p>
          <w:p>
            <w:r>
              <w:rPr>
                <w:rStyle w:val="row-content"/>
              </w:rPr>
              <w:t xml:space="preserve">This data element should be reported by funding departments in relation to all non-government service type outlets.</w:t>
            </w:r>
          </w:p>
          <w:p>
            <w:r>
              <w:rPr>
                <w:rStyle w:val="row-content"/>
              </w:rPr>
              <w:t xml:space="preserve">Where a </w:t>
            </w:r>
            <w:r>
              <w:rPr>
                <w:rStyle w:val="row-content"/>
                <w:b/>
              </w:rPr>
              <w:t xml:space="preserve">service type outlet </w:t>
            </w:r>
            <w:r>
              <w:rPr>
                <w:rStyle w:val="row-content"/>
              </w:rPr>
              <w:t xml:space="preserve">has a formal relationship with a </w:t>
            </w:r>
            <w:r>
              <w:rPr>
                <w:rStyle w:val="row-content"/>
                <w:b/>
              </w:rPr>
              <w:t xml:space="preserve">NDA funded agency </w:t>
            </w:r>
            <w:r>
              <w:rPr>
                <w:rStyle w:val="row-content"/>
              </w:rPr>
              <w:t xml:space="preserve">then the government/non-government sector of the funded agency should generally be recorded.</w:t>
            </w:r>
          </w:p>
          <w:p>
            <w:r>
              <w:rPr>
                <w:rStyle w:val="row-content"/>
              </w:rPr>
              <w:t xml:space="preserve">This data element is used in conjunction with the level of government to determine the type of government or non-government sector (agency sector) to which the funded agency (or service type outlet) belongs.</w:t>
            </w:r>
          </w:p>
          <w:p>
            <w:r>
              <w:br/>
            </w:r>
            <w:r>
              <w:br/>
            </w:r>
          </w:p>
        </w:tc>
      </w:tr>
    </w:tbl>
    <w:p/>
    <w:tbl>
      <w:tblPr>
        <w:tblStyle w:val="TableGrid"/>
        <w:tblW w:w="0" w:type="auto"/>
      </w:tblPr>
    </w:tbl>
    <w:p>
      <w:r>
        <w:br/>
      </w:r>
    </w:p>
    <w:sectPr>
      <w:footerReference xmlns:r="http://schemas.openxmlformats.org/officeDocument/2006/relationships" w:type="default" r:id="R581b4e9d094346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321004</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21028bd3204c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1b4e9d0943464a" /><Relationship Type="http://schemas.openxmlformats.org/officeDocument/2006/relationships/header" Target="/word/header1.xml" Id="Raa1198c327934e2c" /><Relationship Type="http://schemas.openxmlformats.org/officeDocument/2006/relationships/settings" Target="/word/settings.xml" Id="R446b47b0643f495c" /><Relationship Type="http://schemas.openxmlformats.org/officeDocument/2006/relationships/styles" Target="/word/styles.xml" Id="Ra6e912f450454c40" /><Relationship Type="http://schemas.openxmlformats.org/officeDocument/2006/relationships/hyperlink" Target="https://meteor.aihw.gov.au/RegistrationAuthority/1" TargetMode="External" Id="R2d38f4843ca74072" /><Relationship Type="http://schemas.openxmlformats.org/officeDocument/2006/relationships/hyperlink" Target="https://meteor.aihw.gov.au/RegistrationAuthority/16" TargetMode="External" Id="R3eb1763631a141c1" /><Relationship Type="http://schemas.openxmlformats.org/officeDocument/2006/relationships/hyperlink" Target="https://meteor.aihw.gov.au/content/342638" TargetMode="External" Id="Re5e7fe68ff724daf" /><Relationship Type="http://schemas.openxmlformats.org/officeDocument/2006/relationships/hyperlink" Target="https://meteor.aihw.gov.au/content/321002" TargetMode="External" Id="Race07b7436b3432c" /><Relationship Type="http://schemas.openxmlformats.org/officeDocument/2006/relationships/hyperlink" Target="http://www.ato.gov.au/" TargetMode="External" Id="Rdae53ae97e604d0a" /><Relationship Type="http://schemas.openxmlformats.org/officeDocument/2006/relationships/hyperlink" Target="https://meteor.aihw.gov.au/content/621265" TargetMode="External" Id="R8c6de5df69b84919" /><Relationship Type="http://schemas.openxmlformats.org/officeDocument/2006/relationships/hyperlink" Target="https://meteor.aihw.gov.au/RegistrationAuthority/16" TargetMode="External" Id="R50e82b6274a34d7f" /><Relationship Type="http://schemas.openxmlformats.org/officeDocument/2006/relationships/hyperlink" Target="https://meteor.aihw.gov.au/content/350937" TargetMode="External" Id="R99ebc7025e4f4278" /><Relationship Type="http://schemas.openxmlformats.org/officeDocument/2006/relationships/hyperlink" Target="https://meteor.aihw.gov.au/RegistrationAuthority/1" TargetMode="External" Id="Rec56ab4428cf4716" /><Relationship Type="http://schemas.openxmlformats.org/officeDocument/2006/relationships/hyperlink" Target="https://meteor.aihw.gov.au/RegistrationAuthority/16" TargetMode="External" Id="R837bded4bb004e04" /><Relationship Type="http://schemas.openxmlformats.org/officeDocument/2006/relationships/hyperlink" Target="https://meteor.aihw.gov.au/content/497979" TargetMode="External" Id="Rba174b7675e64d5f" /><Relationship Type="http://schemas.openxmlformats.org/officeDocument/2006/relationships/hyperlink" Target="https://meteor.aihw.gov.au/RegistrationAuthority/1" TargetMode="External" Id="R9b9a510b2af944ab" /><Relationship Type="http://schemas.openxmlformats.org/officeDocument/2006/relationships/hyperlink" Target="https://meteor.aihw.gov.au/RegistrationAuthority/16" TargetMode="External" Id="R66ed8257d32e4a78" /><Relationship Type="http://schemas.openxmlformats.org/officeDocument/2006/relationships/hyperlink" Target="https://meteor.aihw.gov.au/content/321004" TargetMode="External" Id="Ra1a35e41b2604b68" /><Relationship Type="http://schemas.openxmlformats.org/officeDocument/2006/relationships/hyperlink" Target="https://meteor.aihw.gov.au/content/317350" TargetMode="External" Id="R1772d8d46cc74471" /><Relationship Type="http://schemas.openxmlformats.org/officeDocument/2006/relationships/hyperlink" Target="https://meteor.aihw.gov.au/RegistrationAuthority/1" TargetMode="External" Id="R5ad6fc49f6134769" /><Relationship Type="http://schemas.openxmlformats.org/officeDocument/2006/relationships/hyperlink" Target="https://meteor.aihw.gov.au/content/344878" TargetMode="External" Id="R98eab203568948ff" /><Relationship Type="http://schemas.openxmlformats.org/officeDocument/2006/relationships/hyperlink" Target="https://meteor.aihw.gov.au/content/344853" TargetMode="External" Id="R9baeafca1eeb481f" /><Relationship Type="http://schemas.openxmlformats.org/officeDocument/2006/relationships/hyperlink" Target="https://meteor.aihw.gov.au/content/372123" TargetMode="External" Id="Rb8f5d1e8be7e46ed" /><Relationship Type="http://schemas.openxmlformats.org/officeDocument/2006/relationships/hyperlink" Target="https://meteor.aihw.gov.au/RegistrationAuthority/1" TargetMode="External" Id="Rf8ad91fd1e3443f3" /><Relationship Type="http://schemas.openxmlformats.org/officeDocument/2006/relationships/hyperlink" Target="https://meteor.aihw.gov.au/content/344878" TargetMode="External" Id="Rf1cbcc47b07b4d5a" /><Relationship Type="http://schemas.openxmlformats.org/officeDocument/2006/relationships/hyperlink" Target="https://meteor.aihw.gov.au/content/344853" TargetMode="External" Id="Re0c235e7c60541ef" /><Relationship Type="http://schemas.openxmlformats.org/officeDocument/2006/relationships/hyperlink" Target="https://meteor.aihw.gov.au/content/386485" TargetMode="External" Id="R5747b0a0f7f947b6" /><Relationship Type="http://schemas.openxmlformats.org/officeDocument/2006/relationships/hyperlink" Target="https://meteor.aihw.gov.au/RegistrationAuthority/1" TargetMode="External" Id="R8158d0560a26441b" /><Relationship Type="http://schemas.openxmlformats.org/officeDocument/2006/relationships/hyperlink" Target="https://meteor.aihw.gov.au/content/428708" TargetMode="External" Id="Rd2bcc6cf36f34362" /><Relationship Type="http://schemas.openxmlformats.org/officeDocument/2006/relationships/hyperlink" Target="https://meteor.aihw.gov.au/RegistrationAuthority/1" TargetMode="External" Id="R25f314ee424e4700" /><Relationship Type="http://schemas.openxmlformats.org/officeDocument/2006/relationships/hyperlink" Target="https://meteor.aihw.gov.au/content/461636" TargetMode="External" Id="Rbd7a308d80034e50" /><Relationship Type="http://schemas.openxmlformats.org/officeDocument/2006/relationships/hyperlink" Target="https://meteor.aihw.gov.au/RegistrationAuthority/1" TargetMode="External" Id="Rd6d44138683044ce" /></Relationships>
</file>

<file path=word/_rels/header1.xml.rels>&#65279;<?xml version="1.0" encoding="utf-8"?><Relationships xmlns="http://schemas.openxmlformats.org/package/2006/relationships"><Relationship Type="http://schemas.openxmlformats.org/officeDocument/2006/relationships/image" Target="/media/image.png" Id="R7a21028bd3204ca7" /></Relationships>
</file>