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c512d1f0a34bbb" /></Relationships>
</file>

<file path=word/document.xml><?xml version="1.0" encoding="utf-8"?>
<w:document xmlns:r="http://schemas.openxmlformats.org/officeDocument/2006/relationships" xmlns:w="http://schemas.openxmlformats.org/wordprocessingml/2006/main">
  <w:body>
    <w:p>
      <w:pPr>
        <w:pStyle w:val="Title"/>
      </w:pPr>
      <w:r>
        <w:t>Environmental factors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b6e356aa74c0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f47cea39ecb4ddd">
              <w:r>
                <w:rPr>
                  <w:rStyle w:val="Hyperlink"/>
                  <w:color w:val="244061"/>
                </w:rPr>
                <w:t xml:space="preserve">Disability</w:t>
              </w:r>
            </w:hyperlink>
            <w:r>
              <w:rPr>
                <w:rStyle w:val="row-content"/>
                <w:color w:val="244061"/>
              </w:rPr>
              <w:t xml:space="preserve">, Standard 13/08/2015</w:t>
            </w:r>
          </w:p>
          <w:p>
            <w:pPr>
              <w:spacing w:before="0" w:after="0"/>
            </w:pPr>
            <w:hyperlink w:history="true" r:id="R782aaac0c1644dcb">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complete description of human functioning it is recommended that this cluster be collected along with the following three clusters over time and by a range of health and community care providers:</w:t>
            </w:r>
          </w:p>
          <w:p>
            <w:pPr>
              <w:pStyle w:val="ListParagraph"/>
              <w:numPr>
                <w:ilvl w:val="0"/>
                <w:numId w:val="2"/>
              </w:numPr>
            </w:pPr>
            <w:r>
              <w:rPr>
                <w:rStyle w:val="row-content-rich-text"/>
              </w:rPr>
              <w:t xml:space="preserve">Body functions cluster</w:t>
            </w:r>
          </w:p>
          <w:p>
            <w:pPr>
              <w:pStyle w:val="ListParagraph"/>
              <w:numPr>
                <w:ilvl w:val="0"/>
                <w:numId w:val="2"/>
              </w:numPr>
            </w:pPr>
            <w:r>
              <w:rPr>
                <w:rStyle w:val="row-content-rich-text"/>
              </w:rPr>
              <w:t xml:space="preserve">Body structures cluster</w:t>
            </w:r>
          </w:p>
          <w:p>
            <w:pPr>
              <w:pStyle w:val="ListParagraph"/>
              <w:numPr>
                <w:ilvl w:val="0"/>
                <w:numId w:val="2"/>
              </w:numPr>
            </w:pPr>
            <w:r>
              <w:rPr>
                <w:rStyle w:val="row-content-rich-text"/>
              </w:rPr>
              <w:t xml:space="preserve">Activities and participation cluster </w:t>
            </w:r>
          </w:p>
          <w:p>
            <w:pPr>
              <w:spacing w:after="160"/>
            </w:pPr>
            <w:r>
              <w:rPr>
                <w:rStyle w:val="row-content-rich-text"/>
              </w:rPr>
              <w:t xml:space="preserve">Environmental factors make up the physical, social and attitudinal environment in which people live and conduct their lives. These factors can have a positive or negative influence on a person's participation as a member of society, on performance of activities, or on a person's body function or structure.</w:t>
            </w:r>
          </w:p>
          <w:p>
            <w:pPr>
              <w:spacing w:after="160"/>
            </w:pPr>
            <w:r>
              <w:rPr>
                <w:rStyle w:val="row-content-rich-text"/>
              </w:rPr>
              <w:t xml:space="preserve">The Environmental Factors cluster collects information on the extent to which each of the domains in the five chapters listed below influence the body function or structure, activity or participation of a person:</w:t>
            </w:r>
          </w:p>
          <w:p>
            <w:pPr>
              <w:pStyle w:val="ListParagraph"/>
              <w:numPr>
                <w:ilvl w:val="0"/>
                <w:numId w:val="3"/>
              </w:numPr>
            </w:pPr>
            <w:r>
              <w:rPr>
                <w:rStyle w:val="row-content-rich-text"/>
              </w:rPr>
              <w:t xml:space="preserve">Products and technology</w:t>
            </w:r>
          </w:p>
          <w:p>
            <w:pPr>
              <w:pStyle w:val="ListParagraph"/>
              <w:numPr>
                <w:ilvl w:val="0"/>
                <w:numId w:val="3"/>
              </w:numPr>
            </w:pPr>
            <w:r>
              <w:rPr>
                <w:rStyle w:val="row-content-rich-text"/>
              </w:rPr>
              <w:t xml:space="preserve">Natural environment and human-made changes to environment</w:t>
            </w:r>
          </w:p>
          <w:p>
            <w:pPr>
              <w:pStyle w:val="ListParagraph"/>
              <w:numPr>
                <w:ilvl w:val="0"/>
                <w:numId w:val="3"/>
              </w:numPr>
            </w:pPr>
            <w:r>
              <w:rPr>
                <w:rStyle w:val="row-content-rich-text"/>
              </w:rPr>
              <w:t xml:space="preserve">Support and relationships</w:t>
            </w:r>
          </w:p>
          <w:p>
            <w:pPr>
              <w:pStyle w:val="ListParagraph"/>
              <w:numPr>
                <w:ilvl w:val="0"/>
                <w:numId w:val="3"/>
              </w:numPr>
            </w:pPr>
            <w:r>
              <w:rPr>
                <w:rStyle w:val="row-content-rich-text"/>
              </w:rPr>
              <w:t xml:space="preserve">Attitudes</w:t>
            </w:r>
          </w:p>
          <w:p>
            <w:pPr>
              <w:pStyle w:val="ListParagraph"/>
              <w:numPr>
                <w:ilvl w:val="0"/>
                <w:numId w:val="3"/>
              </w:numPr>
            </w:pPr>
            <w:r>
              <w:rPr>
                <w:rStyle w:val="row-content-rich-text"/>
              </w:rPr>
              <w:t xml:space="preserve">Services, systems and policies</w:t>
            </w:r>
          </w:p>
          <w:p>
            <w:pPr>
              <w:spacing w:after="160"/>
            </w:pPr>
            <w:r>
              <w:rPr>
                <w:rStyle w:val="row-content-rich-text"/>
              </w:rPr>
              <w:t xml:space="preserve">Each chapter contains categories at different levels ordered from general to detailed. For detailed information the user should follow the structure of the ICF; the codes should be drawn from the same hierarchical level within any particular chapter.</w:t>
            </w:r>
          </w:p>
          <w:p>
            <w:pPr>
              <w:spacing w:after="160"/>
            </w:pPr>
            <w:r>
              <w:rPr>
                <w:rStyle w:val="row-content-rich-text"/>
              </w:rPr>
              <w:t xml:space="preserve">Codes at the ICF chapter headings may be recorded. If further detail is required the Environmental Factors classification includes 3 and 4 digit codes:</w:t>
            </w:r>
          </w:p>
          <w:p>
            <w:pPr>
              <w:spacing w:after="160"/>
            </w:pPr>
            <w:r>
              <w:rPr>
                <w:rStyle w:val="row-content-rich-text"/>
              </w:rPr>
              <w:t xml:space="preserve">e5     Services, systems and policies</w:t>
            </w:r>
          </w:p>
          <w:p>
            <w:pPr>
              <w:spacing w:after="160"/>
            </w:pPr>
            <w:r>
              <w:rPr>
                <w:rStyle w:val="row-content-rich-text"/>
              </w:rPr>
              <w:t xml:space="preserve">e580  Health services, systems and policies</w:t>
            </w:r>
          </w:p>
          <w:p>
            <w:pPr>
              <w:spacing w:after="160"/>
            </w:pPr>
            <w:r>
              <w:rPr>
                <w:rStyle w:val="row-content-rich-text"/>
              </w:rPr>
              <w:t xml:space="preserve">e5800 Health services</w:t>
            </w:r>
          </w:p>
          <w:p>
            <w:pPr>
              <w:spacing w:after="160"/>
            </w:pPr>
            <w:r>
              <w:rPr>
                <w:rStyle w:val="row-content-rich-text"/>
              </w:rPr>
              <w:t xml:space="preserve">Where multiple environmental factors and the extent of influence are recorded, the following prioritising system may be useful:</w:t>
            </w:r>
          </w:p>
          <w:p>
            <w:pPr>
              <w:pStyle w:val="ListParagraph"/>
              <w:numPr>
                <w:ilvl w:val="0"/>
                <w:numId w:val="4"/>
              </w:numPr>
            </w:pPr>
            <w:r>
              <w:rPr>
                <w:rStyle w:val="row-content-rich-text"/>
              </w:rPr>
              <w:t xml:space="preserve">The first recorded environmental factor is the one having the greatest impact on the individual.</w:t>
            </w:r>
          </w:p>
          <w:p>
            <w:pPr>
              <w:pStyle w:val="ListParagraph"/>
              <w:numPr>
                <w:ilvl w:val="0"/>
                <w:numId w:val="4"/>
              </w:numPr>
            </w:pPr>
            <w:r>
              <w:rPr>
                <w:rStyle w:val="row-content-rich-text"/>
              </w:rPr>
              <w:t xml:space="preserve">Second and subsequent environmental factors are also of relevance to the individual.</w:t>
            </w:r>
          </w:p>
          <w:p>
            <w:pPr/>
            <w:r>
              <w:rPr>
                <w:rStyle w:val="row-content-rich-text"/>
              </w:rPr>
              <w:t xml:space="preserve">The Environmental factors cluster may be used in health, community services and other disability-related data collections to record the environmental factors that facilitate or inhibit optimum functioning at the body, person or societal level. Identifying whether, and by how much, these environmental factors are influencing an individual's level of functioning, and whether the influence is a facilitator or barrier, may indicate the sorts of interventions that will optimise the individual's functioning. This information may be useful for policy development, service provision, or advocacy purposes. Preventative strategies could also be indicated by this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environmental factor code recorded there should be one response for the influence of the environmental factor.</w:t>
            </w:r>
          </w:p>
          <w:p>
            <w:pPr>
              <w:spacing w:after="160"/>
            </w:pPr>
            <w:r>
              <w:rPr>
                <w:rStyle w:val="row-content-rich-text"/>
              </w:rPr>
              <w:t xml:space="preserve">There are numerous possible methods for collecting environmental factors. Information can be collected on:</w:t>
            </w:r>
          </w:p>
          <w:p>
            <w:pPr>
              <w:pStyle w:val="ListParagraph"/>
              <w:numPr>
                <w:ilvl w:val="0"/>
                <w:numId w:val="5"/>
              </w:numPr>
            </w:pPr>
            <w:r>
              <w:rPr>
                <w:rStyle w:val="row-content-rich-text"/>
              </w:rPr>
              <w:t xml:space="preserve">all environmental factors;</w:t>
            </w:r>
          </w:p>
          <w:p>
            <w:pPr>
              <w:pStyle w:val="ListParagraph"/>
              <w:numPr>
                <w:ilvl w:val="0"/>
                <w:numId w:val="5"/>
              </w:numPr>
            </w:pPr>
            <w:r>
              <w:rPr>
                <w:rStyle w:val="row-content-rich-text"/>
              </w:rPr>
              <w:t xml:space="preserve">environmental factors of particular relevance;</w:t>
            </w:r>
          </w:p>
          <w:p>
            <w:pPr>
              <w:pStyle w:val="ListParagraph"/>
              <w:numPr>
                <w:ilvl w:val="0"/>
                <w:numId w:val="5"/>
              </w:numPr>
            </w:pPr>
            <w:r>
              <w:rPr>
                <w:rStyle w:val="row-content-rich-text"/>
              </w:rPr>
              <w:t xml:space="preserve">a number of environmental factors, prioritised according to specified criteria;</w:t>
            </w:r>
          </w:p>
          <w:p>
            <w:pPr>
              <w:pStyle w:val="ListParagraph"/>
              <w:numPr>
                <w:ilvl w:val="0"/>
                <w:numId w:val="5"/>
              </w:numPr>
            </w:pPr>
            <w:r>
              <w:rPr>
                <w:rStyle w:val="row-content-rich-text"/>
              </w:rPr>
              <w:t xml:space="preserve">one environmental factor per person; or</w:t>
            </w:r>
          </w:p>
          <w:p>
            <w:pPr>
              <w:pStyle w:val="ListParagraph"/>
              <w:numPr>
                <w:ilvl w:val="0"/>
                <w:numId w:val="5"/>
              </w:numPr>
            </w:pPr>
            <w:r>
              <w:rPr>
                <w:rStyle w:val="row-content-rich-text"/>
              </w:rPr>
              <w:t xml:space="preserve">record environmental factors for each recorded body function, body structure, and activities and participation. </w:t>
            </w:r>
          </w:p>
          <w:p>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6"/>
              </w:numPr>
            </w:pPr>
            <w:r>
              <w:rPr>
                <w:rStyle w:val="row-content-rich-text"/>
              </w:rPr>
              <w:t xml:space="preserve">Episode of care principal diagnosis, code (ICD-10-AM 5th Ed) ANN{.N[N}</w:t>
            </w:r>
          </w:p>
          <w:p>
            <w:pPr>
              <w:pStyle w:val="ListParagraph"/>
              <w:numPr>
                <w:ilvl w:val="0"/>
                <w:numId w:val="6"/>
              </w:numPr>
            </w:pPr>
            <w:r>
              <w:rPr>
                <w:rStyle w:val="row-content-rich-text"/>
              </w:rPr>
              <w:t xml:space="preserve">Episode of care additional diagnosis, code (ICD-10-AM 5th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14280778884d4e">
              <w:r>
                <w:rPr>
                  <w:rStyle w:val="Hyperlink"/>
                </w:rPr>
                <w:t xml:space="preserve">Disability and need for assistance cluster</w:t>
              </w:r>
            </w:hyperlink>
          </w:p>
          <w:p>
            <w:pPr>
              <w:spacing w:before="0" w:after="0"/>
            </w:pPr>
            <w:r>
              <w:rPr>
                <w:rStyle w:val="row-content"/>
                <w:color w:val="244061"/>
              </w:rPr>
              <w:t xml:space="preserve">       </w:t>
            </w:r>
            <w:hyperlink w:history="true" r:id="R5401f4b9837840c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36c8b5691714ffc">
              <w:r>
                <w:rPr>
                  <w:rStyle w:val="Hyperlink"/>
                  <w:color w:val="244061"/>
                </w:rPr>
                <w:t xml:space="preserve">Disability</w:t>
              </w:r>
            </w:hyperlink>
            <w:r>
              <w:rPr>
                <w:rStyle w:val="row-content"/>
                <w:color w:val="244061"/>
              </w:rPr>
              <w:t xml:space="preserve">, Standard 13/08/2015</w:t>
            </w:r>
          </w:p>
          <w:p>
            <w:r>
              <w:br/>
            </w:r>
            <w:hyperlink w:history="true" r:id="Re1e56dca6db14676">
              <w:r>
                <w:rPr>
                  <w:rStyle w:val="Hyperlink"/>
                </w:rPr>
                <w:t xml:space="preserve">Functioning and Disability DSS </w:t>
              </w:r>
            </w:hyperlink>
          </w:p>
          <w:p>
            <w:pPr>
              <w:spacing w:before="0" w:after="0"/>
            </w:pPr>
            <w:r>
              <w:rPr>
                <w:rStyle w:val="row-content"/>
                <w:color w:val="244061"/>
              </w:rPr>
              <w:t xml:space="preserve">       </w:t>
            </w:r>
            <w:hyperlink w:history="true" r:id="Rb132fa9532724ab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fcaad62fcb54b3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a0493de113442ad">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a47fb57234b41">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5e2eee76d4fd0">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8e472bf4d3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5be7f5b7d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e472bf4d34f4e" /><Relationship Type="http://schemas.openxmlformats.org/officeDocument/2006/relationships/header" Target="/word/header1.xml" Id="R79ce5aaa7d7a41ba" /><Relationship Type="http://schemas.openxmlformats.org/officeDocument/2006/relationships/settings" Target="/word/settings.xml" Id="R55ae82ec1cd946ab" /><Relationship Type="http://schemas.openxmlformats.org/officeDocument/2006/relationships/styles" Target="/word/styles.xml" Id="R1da04bffbde3424f" /><Relationship Type="http://schemas.openxmlformats.org/officeDocument/2006/relationships/hyperlink" Target="https://meteor.aihw.gov.au/RegistrationAuthority/1" TargetMode="External" Id="Rf67b6e356aa74c07" /><Relationship Type="http://schemas.openxmlformats.org/officeDocument/2006/relationships/hyperlink" Target="https://meteor.aihw.gov.au/RegistrationAuthority/16" TargetMode="External" Id="R0f47cea39ecb4ddd" /><Relationship Type="http://schemas.openxmlformats.org/officeDocument/2006/relationships/hyperlink" Target="https://meteor.aihw.gov.au/RegistrationAuthority/12" TargetMode="External" Id="R782aaac0c1644dcb" /><Relationship Type="http://schemas.openxmlformats.org/officeDocument/2006/relationships/numbering" Target="/word/numbering.xml" Id="R1dd7630c236e435a" /><Relationship Type="http://schemas.openxmlformats.org/officeDocument/2006/relationships/hyperlink" Target="https://meteor.aihw.gov.au/content/484548" TargetMode="External" Id="R2f14280778884d4e" /><Relationship Type="http://schemas.openxmlformats.org/officeDocument/2006/relationships/hyperlink" Target="https://meteor.aihw.gov.au/RegistrationAuthority/1" TargetMode="External" Id="R5401f4b9837840c2" /><Relationship Type="http://schemas.openxmlformats.org/officeDocument/2006/relationships/hyperlink" Target="https://meteor.aihw.gov.au/RegistrationAuthority/16" TargetMode="External" Id="R236c8b5691714ffc" /><Relationship Type="http://schemas.openxmlformats.org/officeDocument/2006/relationships/hyperlink" Target="https://meteor.aihw.gov.au/content/320319" TargetMode="External" Id="Re1e56dca6db14676" /><Relationship Type="http://schemas.openxmlformats.org/officeDocument/2006/relationships/hyperlink" Target="https://meteor.aihw.gov.au/RegistrationAuthority/1" TargetMode="External" Id="Rb132fa9532724ab0" /><Relationship Type="http://schemas.openxmlformats.org/officeDocument/2006/relationships/hyperlink" Target="https://meteor.aihw.gov.au/RegistrationAuthority/16" TargetMode="External" Id="Rafcaad62fcb54b38" /><Relationship Type="http://schemas.openxmlformats.org/officeDocument/2006/relationships/hyperlink" Target="https://meteor.aihw.gov.au/RegistrationAuthority/12" TargetMode="External" Id="R2a0493de113442ad" /><Relationship Type="http://schemas.openxmlformats.org/officeDocument/2006/relationships/hyperlink" Target="https://meteor.aihw.gov.au/content/320207" TargetMode="External" Id="R0faa47fb57234b41" /><Relationship Type="http://schemas.openxmlformats.org/officeDocument/2006/relationships/hyperlink" Target="https://meteor.aihw.gov.au/content/320198" TargetMode="External" Id="R3435e2eee76d4fd0" /></Relationships>
</file>

<file path=word/_rels/header1.xml.rels>&#65279;<?xml version="1.0" encoding="utf-8"?><Relationships xmlns="http://schemas.openxmlformats.org/package/2006/relationships"><Relationship Type="http://schemas.openxmlformats.org/officeDocument/2006/relationships/image" Target="/media/image.png" Id="R7055be7f5b7d46d0" /></Relationships>
</file>