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58e74895754e9e" /></Relationships>
</file>

<file path=word/document.xml><?xml version="1.0" encoding="utf-8"?>
<w:document xmlns:r="http://schemas.openxmlformats.org/officeDocument/2006/relationships" xmlns:w="http://schemas.openxmlformats.org/wordprocessingml/2006/main">
  <w:body>
    <w:p>
      <w:pPr>
        <w:pStyle w:val="Title"/>
      </w:pPr>
      <w:r>
        <w:t>Service episode—legal order/arrangement type, juvenile justice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episode—legal order/arrangement type, juvenile justice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type (juvenile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6952a84a204a4e">
              <w:r>
                <w:rPr>
                  <w:rStyle w:val="Hyperlink"/>
                  <w:color w:val="244061"/>
                </w:rPr>
                <w:t xml:space="preserve">Community Services (retired)</w:t>
              </w:r>
            </w:hyperlink>
            <w:r>
              <w:rPr>
                <w:rStyle w:val="row-content"/>
                <w:color w:val="244061"/>
              </w:rPr>
              <w:t xml:space="preserve">, Superseded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legal arrangement that has resulted in the juvenile justice client being supervised or case managed by the juvenile justice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i/>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f4ba714df64258">
              <w:r>
                <w:rPr>
                  <w:rStyle w:val="Hyperlink"/>
                </w:rPr>
                <w:t xml:space="preserve">Service episode—legal order/arrangement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f3b651ca7a4514">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Categorisation of a service episode based on type of legal order or arrangement a person is subject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564ea539d04b30">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ce5a9570e64bd9">
              <w:r>
                <w:rPr>
                  <w:rStyle w:val="Hyperlink"/>
                </w:rPr>
                <w:t xml:space="preserve">Legal order/arrangement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22f36f0ed9409d">
              <w:r>
                <w:rPr>
                  <w:rStyle w:val="Hyperlink"/>
                </w:rPr>
                <w:t xml:space="preserve">Juvenile justice legal arrangement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bd32ec9e6e4dd2">
              <w:r>
                <w:rPr>
                  <w:rStyle w:val="Hyperlink"/>
                  <w:color w:val="244061"/>
                </w:rPr>
                <w:t xml:space="preserve">Community Services (retired)</w:t>
              </w:r>
            </w:hyperlink>
            <w:r>
              <w:rPr>
                <w:rStyle w:val="row-content"/>
                <w:color w:val="244061"/>
              </w:rPr>
              <w:t xml:space="preserve">, Superseded 14/09/2009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juvenile justice legal arrangements.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Pre-court appearance—police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Pre-court appearance—Other police-referred pre-court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Pre-sentence—court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Pre-sentence—Other court-referred pre-sentence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Sentenced—Community-based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Sentenced—Other community-based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Sentenced—Immediate release or suspended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Sentenced—Home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Sentenced—Detention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Sentenced—Parole or supervised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Sentenced—Other sentence requiring JJ Department supervision or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r>
              <w:br/>
            </w:r>
            <w:r>
              <w:t xml:space="preserve"> </w:t>
            </w:r>
          </w:p>
        </w:tc>
        <w:tc>
          <w:tcPr>
            <w:tcBorders>
              <w:top w:val="none" w:color="000000" w:sz="0"/>
              <w:left w:val="none" w:color="000000" w:sz="0"/>
              <w:bottom w:val="none" w:color="000000" w:sz="0"/>
              <w:right w:val="none" w:color="000000" w:sz="0"/>
            </w:tcBorders>
            <w:vAlign w:val="top"/>
          </w:tcPr>
          <w:p>
            <w:r>
              <w:t xml:space="preserve">Other—Other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hierarchical structure exists for the value domain. Recording should be at the 2 digit level.</w:t>
            </w:r>
          </w:p>
          <w:p>
            <w:pPr>
              <w:spacing w:after="160"/>
            </w:pPr>
            <w:r>
              <w:rPr>
                <w:rStyle w:val="row-content-rich-text"/>
              </w:rPr>
              <w:t xml:space="preserve">The types of legal arrangements are described in each jurisdiction’s juvenile justice legislation. They vary slightly according to the State or Territory. However the value domain provides broad groupings of these legal orders or arrangements to which all jurisdictions should map their specific types of legal arrangements.</w:t>
            </w:r>
          </w:p>
          <w:p>
            <w:pPr>
              <w:spacing w:after="160"/>
            </w:pPr>
            <w:r>
              <w:rPr>
                <w:rStyle w:val="row-content-rich-text"/>
                <w:u w:val="single"/>
              </w:rPr>
              <w:t xml:space="preserve">1</w:t>
            </w:r>
            <w:r>
              <w:rPr>
                <w:rStyle w:val="row-content-rich-text"/>
                <w:u w:val="single"/>
              </w:rPr>
              <w:t xml:space="preserve">  </w:t>
            </w:r>
            <w:r>
              <w:rPr>
                <w:rStyle w:val="row-content-rich-text"/>
                <w:u w:val="single"/>
              </w:rPr>
              <w:t xml:space="preserve">Pre-court appearance – police referred</w:t>
            </w:r>
          </w:p>
          <w:p>
            <w:pPr>
              <w:spacing w:after="160"/>
            </w:pPr>
            <w:r>
              <w:rPr>
                <w:rStyle w:val="row-content-rich-text"/>
              </w:rPr>
              <w:t xml:space="preserve">CODE 11</w:t>
            </w:r>
            <w:r>
              <w:rPr>
                <w:rStyle w:val="row-content-rich-text"/>
              </w:rPr>
              <w:t xml:space="preserve">     </w:t>
            </w:r>
            <w:r>
              <w:rPr>
                <w:rStyle w:val="row-content-rich-text"/>
              </w:rPr>
              <w:t xml:space="preserve">Held in youth detention or remand centre or watch house</w:t>
            </w:r>
          </w:p>
          <w:p>
            <w:pPr>
              <w:spacing w:after="160"/>
            </w:pPr>
            <w:r>
              <w:rPr>
                <w:rStyle w:val="row-content-rich-text"/>
              </w:rPr>
              <w:t xml:space="preserve">CODE 12   </w:t>
            </w:r>
            <w:r>
              <w:rPr>
                <w:rStyle w:val="row-content-rich-text"/>
              </w:rPr>
              <w:t xml:space="preserve">  Other police-referred pre-court arrangements </w:t>
            </w:r>
          </w:p>
          <w:p>
            <w:pPr>
              <w:spacing w:after="160"/>
            </w:pPr>
            <w:r>
              <w:rPr>
                <w:rStyle w:val="row-content-rich-text"/>
              </w:rPr>
              <w:t xml:space="preserve">O</w:t>
            </w:r>
            <w:r>
              <w:rPr>
                <w:rStyle w:val="row-content-rich-text"/>
              </w:rPr>
              <w:t xml:space="preserve">ther pre-court arrangements is where the juvenile justice department is responsible for case management or supervision of the juvenile, such as supervised/conditional bail where the juvenile justice department is involved with monitoring or supervising the juvenile</w:t>
            </w:r>
          </w:p>
          <w:p>
            <w:pPr>
              <w:spacing w:after="160"/>
            </w:pPr>
            <w:r>
              <w:rPr>
                <w:rStyle w:val="row-content-rich-text"/>
                <w:u w:val="single"/>
              </w:rPr>
              <w:t xml:space="preserve">2</w:t>
            </w:r>
            <w:r>
              <w:rPr>
                <w:rStyle w:val="row-content-rich-text"/>
                <w:u w:val="single"/>
              </w:rPr>
              <w:t xml:space="preserve">  </w:t>
            </w:r>
            <w:r>
              <w:rPr>
                <w:rStyle w:val="row-content-rich-text"/>
                <w:u w:val="single"/>
              </w:rPr>
              <w:t xml:space="preserve">Pre-sentence – court referred or ordered</w:t>
            </w:r>
          </w:p>
          <w:p>
            <w:pPr>
              <w:spacing w:after="160"/>
            </w:pPr>
            <w:r>
              <w:rPr>
                <w:rStyle w:val="row-content-rich-text"/>
              </w:rPr>
              <w:t xml:space="preserve">CODE 21</w:t>
            </w:r>
            <w:r>
              <w:rPr>
                <w:rStyle w:val="row-content-rich-text"/>
              </w:rPr>
              <w:t xml:space="preserve">     </w:t>
            </w:r>
            <w:r>
              <w:rPr>
                <w:rStyle w:val="row-content-rich-text"/>
              </w:rPr>
              <w:t xml:space="preserve">Remanded</w:t>
            </w:r>
          </w:p>
          <w:p>
            <w:pPr>
              <w:spacing w:after="160"/>
            </w:pPr>
            <w:r>
              <w:rPr>
                <w:rStyle w:val="row-content-rich-text"/>
              </w:rPr>
              <w:t xml:space="preserve">Remanded in a youth detention or remand centre or watchhouse</w:t>
            </w:r>
          </w:p>
          <w:p>
            <w:pPr>
              <w:spacing w:after="160"/>
            </w:pPr>
            <w:r>
              <w:rPr>
                <w:rStyle w:val="row-content-rich-text"/>
              </w:rPr>
              <w:t xml:space="preserve">CODE 22</w:t>
            </w:r>
            <w:r>
              <w:rPr>
                <w:rStyle w:val="row-content-rich-text"/>
              </w:rPr>
              <w:t xml:space="preserve">     </w:t>
            </w:r>
            <w:r>
              <w:rPr>
                <w:rStyle w:val="row-content-rich-text"/>
              </w:rPr>
              <w:t xml:space="preserve">Other court-referred pre-sentence arrangements  </w:t>
            </w:r>
          </w:p>
          <w:p>
            <w:pPr>
              <w:spacing w:after="160"/>
            </w:pPr>
            <w:r>
              <w:rPr>
                <w:rStyle w:val="row-content-rich-text"/>
              </w:rPr>
              <w:t xml:space="preserve">Other pre-sentence court orders or arrangements is where the</w:t>
            </w:r>
            <w:r>
              <w:rPr>
                <w:rStyle w:val="row-content-rich-text"/>
              </w:rPr>
              <w:t xml:space="preserve"> </w:t>
            </w:r>
            <w:r>
              <w:rPr>
                <w:rStyle w:val="row-content-rich-text"/>
              </w:rPr>
              <w:t xml:space="preserve">juvenile justice department is responsible for case management or supervision of the juvenile (such as supervised/conditional bail where the juvenile justice department is involved with monitoring or supervising the juvenile)</w:t>
            </w:r>
          </w:p>
          <w:p>
            <w:pPr>
              <w:spacing w:after="160"/>
            </w:pPr>
            <w:r>
              <w:rPr>
                <w:rStyle w:val="row-content-rich-text"/>
                <w:u w:val="single"/>
              </w:rPr>
              <w:t xml:space="preserve">3</w:t>
            </w:r>
            <w:r>
              <w:rPr>
                <w:rStyle w:val="row-content-rich-text"/>
                <w:u w:val="single"/>
              </w:rPr>
              <w:t xml:space="preserve">  </w:t>
            </w:r>
            <w:r>
              <w:rPr>
                <w:rStyle w:val="row-content-rich-text"/>
                <w:u w:val="single"/>
              </w:rPr>
              <w:t xml:space="preserve">Sentenced</w:t>
            </w:r>
          </w:p>
          <w:p>
            <w:pPr>
              <w:spacing w:after="160"/>
            </w:pPr>
            <w:r>
              <w:rPr>
                <w:rStyle w:val="row-content-rich-text"/>
              </w:rPr>
              <w:t xml:space="preserve">CODE 31     Community-based </w:t>
            </w:r>
          </w:p>
          <w:p>
            <w:pPr>
              <w:spacing w:after="160"/>
            </w:pPr>
            <w:r>
              <w:rPr>
                <w:rStyle w:val="row-content-rich-text"/>
              </w:rPr>
              <w:t xml:space="preserve">Supervision </w:t>
            </w:r>
            <w:r>
              <w:rPr>
                <w:rStyle w:val="row-content-rich-text"/>
                <w:i/>
              </w:rPr>
              <w:t xml:space="preserve">without</w:t>
            </w:r>
            <w:r>
              <w:rPr>
                <w:rStyle w:val="row-content-rich-text"/>
              </w:rPr>
              <w:t xml:space="preserve"> additional mandated requirements</w:t>
            </w:r>
          </w:p>
          <w:p>
            <w:pPr>
              <w:spacing w:after="160"/>
            </w:pPr>
            <w:r>
              <w:rPr>
                <w:rStyle w:val="row-content-rich-text"/>
              </w:rPr>
              <w:t xml:space="preserve">CODE 32     Other community-based </w:t>
            </w:r>
          </w:p>
          <w:p>
            <w:pPr>
              <w:spacing w:after="160"/>
            </w:pPr>
            <w:r>
              <w:rPr>
                <w:rStyle w:val="row-content-rich-text"/>
              </w:rPr>
              <w:t xml:space="preserve">Supervision </w:t>
            </w:r>
            <w:r>
              <w:rPr>
                <w:rStyle w:val="row-content-rich-text"/>
                <w:i/>
              </w:rPr>
              <w:t xml:space="preserve">and</w:t>
            </w:r>
            <w:r>
              <w:rPr>
                <w:rStyle w:val="row-content-rich-text"/>
              </w:rPr>
              <w:t xml:space="preserve"> other mandated requirements - requiring some form of obligation or additional element that the client is required to meet, rather than only being supervised or case managed. This obligation could be community work, developmental activity or program attendance (with or without direct supervision by the juvenile justice department of the work or activity but where the juvenile justice department is responsible for overall case management of the juvenile</w:t>
            </w:r>
            <w:r>
              <w:rPr>
                <w:rStyle w:val="row-content-rich-text"/>
              </w:rPr>
              <w:t xml:space="preserve"> </w:t>
            </w:r>
          </w:p>
          <w:p>
            <w:pPr>
              <w:spacing w:after="160"/>
            </w:pPr>
            <w:r>
              <w:rPr>
                <w:rStyle w:val="row-content-rich-text"/>
              </w:rPr>
              <w:t xml:space="preserve">CODE 33</w:t>
            </w:r>
            <w:r>
              <w:rPr>
                <w:rStyle w:val="row-content-rich-text"/>
              </w:rPr>
              <w:t xml:space="preserve">     </w:t>
            </w:r>
            <w:r>
              <w:rPr>
                <w:rStyle w:val="row-content-rich-text"/>
              </w:rPr>
              <w:t xml:space="preserve">Immediate release or suspended detention </w:t>
            </w:r>
          </w:p>
          <w:p>
            <w:pPr>
              <w:spacing w:after="160"/>
            </w:pPr>
            <w:r>
              <w:rPr>
                <w:rStyle w:val="row-content-rich-text"/>
              </w:rPr>
              <w:t xml:space="preserve">CODE 34</w:t>
            </w:r>
            <w:r>
              <w:rPr>
                <w:rStyle w:val="row-content-rich-text"/>
              </w:rPr>
              <w:t xml:space="preserve">     </w:t>
            </w:r>
            <w:r>
              <w:rPr>
                <w:rStyle w:val="row-content-rich-text"/>
              </w:rPr>
              <w:t xml:space="preserve">Home detention</w:t>
            </w:r>
          </w:p>
          <w:p>
            <w:pPr>
              <w:spacing w:after="160"/>
            </w:pPr>
            <w:r>
              <w:rPr>
                <w:rStyle w:val="row-content-rich-text"/>
              </w:rPr>
              <w:t xml:space="preserve">CODE 35</w:t>
            </w:r>
            <w:r>
              <w:rPr>
                <w:rStyle w:val="row-content-rich-text"/>
              </w:rPr>
              <w:t xml:space="preserve">     </w:t>
            </w:r>
            <w:r>
              <w:rPr>
                <w:rStyle w:val="row-content-rich-text"/>
              </w:rPr>
              <w:t xml:space="preserve">Detention</w:t>
            </w:r>
          </w:p>
          <w:p>
            <w:pPr>
              <w:spacing w:after="160"/>
            </w:pPr>
            <w:r>
              <w:rPr>
                <w:rStyle w:val="row-content-rich-text"/>
              </w:rPr>
              <w:t xml:space="preserve">CODE 36</w:t>
            </w:r>
            <w:r>
              <w:rPr>
                <w:rStyle w:val="row-content-rich-text"/>
              </w:rPr>
              <w:t xml:space="preserve">     </w:t>
            </w:r>
            <w:r>
              <w:rPr>
                <w:rStyle w:val="row-content-rich-text"/>
              </w:rPr>
              <w:t xml:space="preserve">Parole or supervised release</w:t>
            </w:r>
          </w:p>
          <w:p>
            <w:pPr>
              <w:spacing w:after="160"/>
            </w:pPr>
            <w:r>
              <w:rPr>
                <w:rStyle w:val="row-content-rich-text"/>
              </w:rPr>
              <w:t xml:space="preserve">CODE 37</w:t>
            </w:r>
            <w:r>
              <w:rPr>
                <w:rStyle w:val="row-content-rich-text"/>
              </w:rPr>
              <w:t xml:space="preserve">     </w:t>
            </w:r>
            <w:r>
              <w:rPr>
                <w:rStyle w:val="row-content-rich-text"/>
              </w:rPr>
              <w:t xml:space="preserve">Other sentence requiring JJ Department supervision or</w:t>
            </w:r>
            <w:r>
              <w:rPr>
                <w:rStyle w:val="row-content-rich-text"/>
              </w:rPr>
              <w:t xml:space="preserve"> </w:t>
            </w:r>
            <w:r>
              <w:rPr>
                <w:rStyle w:val="row-content-rich-text"/>
              </w:rPr>
              <w:t xml:space="preserve">case management</w:t>
            </w:r>
          </w:p>
          <w:p>
            <w:pPr>
              <w:spacing w:after="160"/>
            </w:pPr>
            <w:r>
              <w:rPr>
                <w:rStyle w:val="row-content-rich-text"/>
                <w:u w:val="single"/>
              </w:rPr>
              <w:t xml:space="preserve">4</w:t>
            </w:r>
            <w:r>
              <w:rPr>
                <w:rStyle w:val="row-content-rich-text"/>
                <w:u w:val="single"/>
              </w:rPr>
              <w:t xml:space="preserve">  </w:t>
            </w:r>
            <w:r>
              <w:rPr>
                <w:rStyle w:val="row-content-rich-text"/>
                <w:u w:val="single"/>
              </w:rPr>
              <w:t xml:space="preserve">Other</w:t>
            </w:r>
          </w:p>
          <w:p>
            <w:pPr>
              <w:spacing w:after="160"/>
            </w:pPr>
            <w:r>
              <w:rPr>
                <w:rStyle w:val="row-content-rich-text"/>
              </w:rPr>
              <w:t xml:space="preserve">CODE 41   </w:t>
            </w:r>
            <w:r>
              <w:rPr>
                <w:rStyle w:val="row-content-rich-text"/>
              </w:rPr>
              <w:t xml:space="preserve">  </w:t>
            </w:r>
            <w:r>
              <w:rPr>
                <w:rStyle w:val="row-content-rich-text"/>
              </w:rPr>
              <w:t xml:space="preserve">Other type of legal arrangement </w:t>
            </w:r>
          </w:p>
          <w:p>
            <w:pPr>
              <w:spacing w:after="160"/>
            </w:pPr>
            <w:r>
              <w:rPr>
                <w:rStyle w:val="row-content-rich-text"/>
              </w:rPr>
              <w:t xml:space="preserve">Other type of legal arrangement is where the juvenile is supervised or case managed by the juvenile justice department and not included above</w:t>
            </w:r>
          </w:p>
          <w:p>
            <w:pPr/>
            <w:r>
              <w:rPr>
                <w:rStyle w:val="row-content-rich-text"/>
              </w:rPr>
              <w:t xml:space="preserve"> </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client can be recorded as being on only ONE </w:t>
            </w:r>
            <w:r>
              <w:rPr>
                <w:rStyle w:val="row-content-rich-text"/>
                <w:i/>
              </w:rPr>
              <w:t xml:space="preserve">episode type</w:t>
            </w:r>
            <w:r>
              <w:rPr>
                <w:rStyle w:val="row-content-rich-text"/>
              </w:rPr>
              <w:t xml:space="preserve"> at any point in time (ie they cannot have concurrent </w:t>
            </w:r>
            <w:r>
              <w:rPr>
                <w:rStyle w:val="row-content-rich-text"/>
                <w:i/>
              </w:rPr>
              <w:t xml:space="preserve">episode types</w:t>
            </w:r>
            <w:r>
              <w:rPr>
                <w:rStyle w:val="row-content-rich-text"/>
              </w:rPr>
              <w:t xml:space="preserve">). If a client is on 2 or more orders at a particular time in a jurisdiction, then the one considered the most serious should be recorded in the JJ NMDS (with ranking based on the following, with 1 being most serious and 12 being least serious):</w:t>
            </w:r>
          </w:p>
          <w:p>
            <w:pPr>
              <w:spacing w:after="160"/>
            </w:pPr>
            <w:r>
              <w:rPr>
                <w:rStyle w:val="row-content-rich-text"/>
              </w:rPr>
              <w:t xml:space="preserve"> </w:t>
            </w:r>
          </w:p>
          <w:p>
            <w:pPr>
              <w:spacing w:after="160"/>
            </w:pPr>
            <w:r>
              <w:rPr>
                <w:rStyle w:val="row-content-rich-text"/>
              </w:rPr>
              <w:t xml:space="preserve">Ranking of JJ episode type for the purposes of the JJ NMDS:</w:t>
            </w:r>
          </w:p>
          <w:p>
            <w:pPr>
              <w:spacing w:after="160"/>
            </w:pPr>
            <w:r>
              <w:rPr>
                <w:rStyle w:val="row-content-rich-text"/>
              </w:rPr>
              <w:t xml:space="preserve">1     35: Sentenced – detention</w:t>
            </w:r>
          </w:p>
          <w:p>
            <w:pPr>
              <w:spacing w:after="160"/>
            </w:pPr>
            <w:r>
              <w:rPr>
                <w:rStyle w:val="row-content-rich-text"/>
              </w:rPr>
              <w:t xml:space="preserve">2     21: Pre sentence – court referred – remanded in juvenile justice facility</w:t>
            </w:r>
          </w:p>
          <w:p>
            <w:pPr>
              <w:spacing w:after="160"/>
            </w:pPr>
            <w:r>
              <w:rPr>
                <w:rStyle w:val="row-content-rich-text"/>
              </w:rPr>
              <w:t xml:space="preserve">3     11: Pre court – police referred – held in juvenile justice facility</w:t>
            </w:r>
          </w:p>
          <w:p>
            <w:pPr>
              <w:spacing w:after="160"/>
            </w:pPr>
            <w:r>
              <w:rPr>
                <w:rStyle w:val="row-content-rich-text"/>
              </w:rPr>
              <w:t xml:space="preserve">4     34: Sentenced – home detention</w:t>
            </w:r>
          </w:p>
          <w:p>
            <w:pPr>
              <w:spacing w:after="160"/>
            </w:pPr>
            <w:r>
              <w:rPr>
                <w:rStyle w:val="row-content-rich-text"/>
              </w:rPr>
              <w:t xml:space="preserve">5     33: Sentenced – immediate release or suspended detention</w:t>
            </w:r>
          </w:p>
          <w:p>
            <w:pPr>
              <w:spacing w:after="160"/>
            </w:pPr>
            <w:r>
              <w:rPr>
                <w:rStyle w:val="row-content-rich-text"/>
              </w:rPr>
              <w:t xml:space="preserve">6     36: Sentenced – parole or supervised release</w:t>
            </w:r>
          </w:p>
          <w:p>
            <w:pPr>
              <w:spacing w:after="160"/>
            </w:pPr>
            <w:r>
              <w:rPr>
                <w:rStyle w:val="row-content-rich-text"/>
              </w:rPr>
              <w:t xml:space="preserve">7     32: Sentenced – other community based – supervision and other mandated requirements</w:t>
            </w:r>
          </w:p>
          <w:p>
            <w:pPr>
              <w:spacing w:after="160"/>
            </w:pPr>
            <w:r>
              <w:rPr>
                <w:rStyle w:val="row-content-rich-text"/>
              </w:rPr>
              <w:t xml:space="preserve">8     31: Sentenced – community based – supervision without additional mandated requirements</w:t>
            </w:r>
          </w:p>
          <w:p>
            <w:pPr>
              <w:spacing w:after="160"/>
            </w:pPr>
            <w:r>
              <w:rPr>
                <w:rStyle w:val="row-content-rich-text"/>
              </w:rPr>
              <w:t xml:space="preserve">9     37: Sentenced – other</w:t>
            </w:r>
          </w:p>
          <w:p>
            <w:pPr>
              <w:spacing w:after="160"/>
            </w:pPr>
            <w:r>
              <w:rPr>
                <w:rStyle w:val="row-content-rich-text"/>
              </w:rPr>
              <w:t xml:space="preserve">10    22: Pre sentence – court referred – other (eg supervised bail)</w:t>
            </w:r>
          </w:p>
          <w:p>
            <w:pPr>
              <w:spacing w:after="160"/>
            </w:pPr>
            <w:r>
              <w:rPr>
                <w:rStyle w:val="row-content-rich-text"/>
              </w:rPr>
              <w:t xml:space="preserve">11    12: Pre court – police referred – other</w:t>
            </w:r>
          </w:p>
          <w:p>
            <w:pPr>
              <w:spacing w:after="160"/>
            </w:pPr>
            <w:r>
              <w:rPr>
                <w:rStyle w:val="row-content-rich-text"/>
              </w:rPr>
              <w:t xml:space="preserve">12    41: Other</w:t>
            </w:r>
          </w:p>
          <w:p>
            <w:pPr>
              <w:spacing w:after="160"/>
            </w:pPr>
            <w:r>
              <w:rPr>
                <w:rStyle w:val="row-content-rich-text"/>
                <w:u w:val="single"/>
              </w:rPr>
              <w:t xml:space="preserve">Example 1</w:t>
            </w:r>
          </w:p>
          <w:p>
            <w:pPr>
              <w:spacing w:after="160"/>
            </w:pPr>
            <w:r>
              <w:rPr>
                <w:rStyle w:val="row-content-rich-text"/>
              </w:rPr>
              <w:t xml:space="preserve">A client is on remand and sentenced detention at the same time. The most serious of these using the above ranking is the sentenced detention. Thus, in the NMDS the client would be recorded as having an episode with a </w:t>
            </w:r>
            <w:r>
              <w:rPr>
                <w:rStyle w:val="row-content-rich-text"/>
                <w:i/>
              </w:rPr>
              <w:t xml:space="preserve">episode type</w:t>
            </w:r>
            <w:r>
              <w:rPr>
                <w:rStyle w:val="row-content-rich-text"/>
              </w:rPr>
              <w:t xml:space="preserve"> of 35 'sentenced detention'.</w:t>
            </w:r>
          </w:p>
          <w:p>
            <w:pPr>
              <w:spacing w:after="160"/>
            </w:pPr>
            <w:r>
              <w:rPr>
                <w:rStyle w:val="row-content-rich-text"/>
                <w:u w:val="single"/>
              </w:rPr>
              <w:t xml:space="preserve">Example 2</w:t>
            </w:r>
          </w:p>
          <w:p>
            <w:pPr>
              <w:spacing w:after="160"/>
            </w:pPr>
            <w:r>
              <w:rPr>
                <w:rStyle w:val="row-content-rich-text"/>
              </w:rPr>
              <w:t xml:space="preserve">A client is on a probation order for 9 months. He or she then receives a 3 month detention sentence for a new offence, on top of and in the middle of the probation order. The JJ client served the sentences with no breaches.</w:t>
            </w:r>
          </w:p>
          <w:p>
            <w:pPr>
              <w:spacing w:after="160"/>
            </w:pPr>
            <w:r>
              <w:rPr>
                <w:rStyle w:val="row-content-rich-text"/>
              </w:rPr>
              <w:t xml:space="preserve">This should be recorded as 3 episodes in the JJ NMDS.</w:t>
            </w:r>
          </w:p>
          <w:p>
            <w:pPr>
              <w:spacing w:after="160"/>
            </w:pPr>
            <w:r>
              <w:rPr>
                <w:rStyle w:val="row-content-rich-text"/>
              </w:rPr>
              <w:t xml:space="preserve">Episode 1: The </w:t>
            </w:r>
            <w:r>
              <w:rPr>
                <w:rStyle w:val="row-content-rich-text"/>
                <w:i/>
              </w:rPr>
              <w:t xml:space="preserve">start date</w:t>
            </w:r>
            <w:r>
              <w:rPr>
                <w:rStyle w:val="row-content-rich-text"/>
              </w:rPr>
              <w:t xml:space="preserve"> for the first episode would be when the client began being supervised by the JJ department on the probation order. It would have a </w:t>
            </w:r>
            <w:r>
              <w:rPr>
                <w:rStyle w:val="row-content-rich-text"/>
                <w:i/>
              </w:rPr>
              <w:t xml:space="preserve">episode type</w:t>
            </w:r>
            <w:r>
              <w:rPr>
                <w:rStyle w:val="row-content-rich-text"/>
              </w:rPr>
              <w:t xml:space="preserve"> of 31: ‘community based – supervision without additional mandated requirements’. The </w:t>
            </w:r>
            <w:r>
              <w:rPr>
                <w:rStyle w:val="row-content-rich-text"/>
                <w:i/>
              </w:rPr>
              <w:t xml:space="preserve">end date</w:t>
            </w:r>
            <w:r>
              <w:rPr>
                <w:rStyle w:val="row-content-rich-text"/>
              </w:rPr>
              <w:t xml:space="preserve"> would be when the period of sentenced detention began (as this order results in a more seriously ranked </w:t>
            </w:r>
            <w:r>
              <w:rPr>
                <w:rStyle w:val="row-content-rich-text"/>
                <w:i/>
              </w:rPr>
              <w:t xml:space="preserve">episode type</w:t>
            </w:r>
            <w:r>
              <w:rPr>
                <w:rStyle w:val="row-content-rich-text"/>
              </w:rPr>
              <w:t xml:space="preserve">). The </w:t>
            </w:r>
            <w:r>
              <w:rPr>
                <w:rStyle w:val="row-content-rich-text"/>
                <w:i/>
              </w:rPr>
              <w:t xml:space="preserve">episode end reason </w:t>
            </w:r>
            <w:r>
              <w:rPr>
                <w:rStyle w:val="row-content-rich-text"/>
              </w:rPr>
              <w:t xml:space="preserve">would be recorded as 6: ‘more serious order begun’.</w:t>
            </w:r>
          </w:p>
          <w:p>
            <w:pPr>
              <w:spacing w:after="160"/>
            </w:pPr>
            <w:r>
              <w:rPr>
                <w:rStyle w:val="row-content-rich-text"/>
              </w:rPr>
              <w:t xml:space="preserve">Episode 2: The </w:t>
            </w:r>
            <w:r>
              <w:rPr>
                <w:rStyle w:val="row-content-rich-text"/>
                <w:i/>
              </w:rPr>
              <w:t xml:space="preserve">start date</w:t>
            </w:r>
            <w:r>
              <w:rPr>
                <w:rStyle w:val="row-content-rich-text"/>
              </w:rPr>
              <w:t xml:space="preserve"> for the second episode would be the same as the </w:t>
            </w:r>
            <w:r>
              <w:rPr>
                <w:rStyle w:val="row-content-rich-text"/>
                <w:i/>
              </w:rPr>
              <w:t xml:space="preserve">end date </w:t>
            </w:r>
            <w:r>
              <w:rPr>
                <w:rStyle w:val="row-content-rich-text"/>
              </w:rPr>
              <w:t xml:space="preserve">for the first episode (i.e. when the JJ client began their period of sentenced detention). It would have a </w:t>
            </w:r>
            <w:r>
              <w:rPr>
                <w:rStyle w:val="row-content-rich-text"/>
                <w:i/>
              </w:rPr>
              <w:t xml:space="preserve">episode type</w:t>
            </w:r>
            <w:r>
              <w:rPr>
                <w:rStyle w:val="row-content-rich-text"/>
              </w:rPr>
              <w:t xml:space="preserve"> of 35: ‘detention’ . The </w:t>
            </w:r>
            <w:r>
              <w:rPr>
                <w:rStyle w:val="row-content-rich-text"/>
                <w:i/>
              </w:rPr>
              <w:t xml:space="preserve">end date</w:t>
            </w:r>
            <w:r>
              <w:rPr>
                <w:rStyle w:val="row-content-rich-text"/>
              </w:rPr>
              <w:t xml:space="preserve"> would be when the period of sentenced detention ended (as this order results in a more seriously ranked episode type). The </w:t>
            </w:r>
            <w:r>
              <w:rPr>
                <w:rStyle w:val="row-content-rich-text"/>
                <w:i/>
              </w:rPr>
              <w:t xml:space="preserve">episode end reason</w:t>
            </w:r>
            <w:r>
              <w:rPr>
                <w:rStyle w:val="row-content-rich-text"/>
              </w:rPr>
              <w:t xml:space="preserve"> would be recorded as 7: ‘conditions of sentence met'.</w:t>
            </w:r>
          </w:p>
          <w:p>
            <w:pPr/>
            <w:r>
              <w:rPr>
                <w:rStyle w:val="row-content-rich-text"/>
              </w:rPr>
              <w:t xml:space="preserve">Episode 3: The </w:t>
            </w:r>
            <w:r>
              <w:rPr>
                <w:rStyle w:val="row-content-rich-text"/>
                <w:i/>
              </w:rPr>
              <w:t xml:space="preserve">start</w:t>
            </w:r>
            <w:r>
              <w:rPr>
                <w:rStyle w:val="row-content-rich-text"/>
                <w:i/>
              </w:rPr>
              <w:t xml:space="preserve">date</w:t>
            </w:r>
            <w:r>
              <w:rPr>
                <w:rStyle w:val="row-content-rich-text"/>
              </w:rPr>
              <w:t xml:space="preserve"> for the third episode would be when the client was released from detention and was once again supervised by the JJ department on a probation order. It would have a </w:t>
            </w:r>
            <w:r>
              <w:rPr>
                <w:rStyle w:val="row-content-rich-text"/>
                <w:i/>
              </w:rPr>
              <w:t xml:space="preserve">episode type</w:t>
            </w:r>
            <w:r>
              <w:rPr>
                <w:rStyle w:val="row-content-rich-text"/>
              </w:rPr>
              <w:t xml:space="preserve"> of 31: ‘community based – supervision without additional mandated requirements’. The </w:t>
            </w:r>
            <w:r>
              <w:rPr>
                <w:rStyle w:val="row-content-rich-text"/>
                <w:i/>
              </w:rPr>
              <w:t xml:space="preserve">end date</w:t>
            </w:r>
            <w:r>
              <w:rPr>
                <w:rStyle w:val="row-content-rich-text"/>
              </w:rPr>
              <w:t xml:space="preserve"> would be when the period of probation ended. The </w:t>
            </w:r>
            <w:r>
              <w:rPr>
                <w:rStyle w:val="row-content-rich-text"/>
                <w:i/>
              </w:rPr>
              <w:t xml:space="preserve">epsiode end reason </w:t>
            </w:r>
            <w:r>
              <w:rPr>
                <w:rStyle w:val="row-content-rich-text"/>
              </w:rPr>
              <w:t xml:space="preserve">would be recorded as 7: ‘conditions of sentence met’.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JJ episode type</w:t>
            </w:r>
            <w:r>
              <w:rPr>
                <w:rStyle w:val="row-content-rich-text"/>
              </w:rPr>
              <w:t xml:space="preserve"> should be recorded on entry to each </w:t>
            </w:r>
            <w:r>
              <w:rPr>
                <w:rStyle w:val="row-content-rich-text"/>
                <w:i/>
              </w:rPr>
              <w:t xml:space="preserve">JJ episode</w:t>
            </w:r>
            <w:r>
              <w:rPr>
                <w:rStyle w:val="row-content-rich-text"/>
              </w:rPr>
              <w:t xml:space="preserve"> for a juvenile justice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core to the JJ NMDS as it distinguishes the types of arrangements under which a juvenile justice client is held, supervised or case managed by the juvenile justice department. This data element is central to the development of a comparable data collection on juvenile justice. It will facilitate comparative analysis of the distribution of juvenile justice clients across intervention types (such as remand and detention). It will also allow for comparison of the types of interventions imposed with other client variables such as age, sex, Indigenous status and geographic location indicators. Categories can be amalgamated to distinguish between clients under custodial and non-custodial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8460e9284454b21">
              <w:r>
                <w:rPr>
                  <w:rStyle w:val="Hyperlink"/>
                </w:rPr>
                <w:t xml:space="preserve">Service episode—detention type, code N</w:t>
              </w:r>
            </w:hyperlink>
          </w:p>
          <w:p>
            <w:pPr>
              <w:spacing w:before="0" w:after="0"/>
            </w:pPr>
            <w:r>
              <w:rPr>
                <w:rStyle w:val="row-content"/>
                <w:color w:val="244061"/>
              </w:rPr>
              <w:t xml:space="preserve">       </w:t>
            </w:r>
            <w:hyperlink w:history="true" r:id="Rcb24e0cb597c48bf">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Has been superseded by </w:t>
            </w:r>
            <w:hyperlink w:history="true" r:id="R38c0fe1cdb9a40ea">
              <w:r>
                <w:rPr>
                  <w:rStyle w:val="Hyperlink"/>
                </w:rPr>
                <w:t xml:space="preserve">Service episode—legal order/arrangement type (local), text [X(100)]</w:t>
              </w:r>
            </w:hyperlink>
          </w:p>
          <w:p>
            <w:pPr>
              <w:spacing w:before="0" w:after="0"/>
            </w:pPr>
            <w:r>
              <w:rPr>
                <w:rStyle w:val="row-content"/>
                <w:color w:val="244061"/>
              </w:rPr>
              <w:t xml:space="preserve">       </w:t>
            </w:r>
            <w:hyperlink w:history="true" r:id="R445e00ef5c6e4738">
              <w:r>
                <w:rPr>
                  <w:rStyle w:val="Hyperlink"/>
                  <w:color w:val="244061"/>
                </w:rPr>
                <w:t xml:space="preserve">Community Services (retired)</w:t>
              </w:r>
            </w:hyperlink>
            <w:r>
              <w:rPr>
                <w:rStyle w:val="row-content"/>
                <w:color w:val="244061"/>
              </w:rPr>
              <w:t xml:space="preserve">, Standard 14/09/2009</w:t>
            </w:r>
          </w:p>
          <w:p>
            <w:r>
              <w:br/>
            </w:r>
            <w:r>
              <w:rPr>
                <w:rStyle w:val="row-content"/>
              </w:rPr>
              <w:t xml:space="preserve">Has been superseded by </w:t>
            </w:r>
            <w:hyperlink w:history="true" r:id="R0090eddb96724503">
              <w:r>
                <w:rPr>
                  <w:rStyle w:val="Hyperlink"/>
                </w:rPr>
                <w:t xml:space="preserve">Service episode—legal order/arrangement type, code NN</w:t>
              </w:r>
            </w:hyperlink>
          </w:p>
          <w:p>
            <w:pPr>
              <w:spacing w:before="0" w:after="0"/>
            </w:pPr>
            <w:r>
              <w:rPr>
                <w:rStyle w:val="row-content"/>
                <w:color w:val="244061"/>
              </w:rPr>
              <w:t xml:space="preserve">       </w:t>
            </w:r>
            <w:hyperlink w:history="true" r:id="Ra507441c73294753">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a6916f1e5840b4">
              <w:r>
                <w:rPr>
                  <w:rStyle w:val="Hyperlink"/>
                </w:rPr>
                <w:t xml:space="preserve">Juvenile Justice NMDS 2007</w:t>
              </w:r>
            </w:hyperlink>
          </w:p>
          <w:p>
            <w:pPr>
              <w:spacing w:before="0" w:after="0"/>
            </w:pPr>
            <w:r>
              <w:rPr>
                <w:rStyle w:val="row-content"/>
                <w:color w:val="244061"/>
              </w:rPr>
              <w:t xml:space="preserve">       </w:t>
            </w:r>
            <w:hyperlink w:history="true" r:id="Rffd6c0ed8f78438c">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p>
        </w:tc>
      </w:tr>
    </w:tbl>
    <w:p/>
    <w:tbl>
      <w:tblPr>
        <w:tblStyle w:val="TableGrid"/>
        <w:tblW w:w="0" w:type="auto"/>
      </w:tblPr>
    </w:tbl>
    <w:p>
      <w:r>
        <w:br/>
      </w:r>
    </w:p>
    <w:sectPr>
      <w:footerReference xmlns:r="http://schemas.openxmlformats.org/officeDocument/2006/relationships" w:type="default" r:id="Rd9e6a2e1db3242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314109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c144189d9d4c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e6a2e1db3242db" /><Relationship Type="http://schemas.openxmlformats.org/officeDocument/2006/relationships/header" Target="/word/header1.xml" Id="R35ac8528bb2b4935" /><Relationship Type="http://schemas.openxmlformats.org/officeDocument/2006/relationships/settings" Target="/word/settings.xml" Id="R1648827ad6e4464d" /><Relationship Type="http://schemas.openxmlformats.org/officeDocument/2006/relationships/styles" Target="/word/styles.xml" Id="R941aeecb478c45e5" /><Relationship Type="http://schemas.openxmlformats.org/officeDocument/2006/relationships/hyperlink" Target="https://meteor.aihw.gov.au/RegistrationAuthority/1" TargetMode="External" Id="R2f6952a84a204a4e" /><Relationship Type="http://schemas.openxmlformats.org/officeDocument/2006/relationships/hyperlink" Target="https://meteor.aihw.gov.au/content/314100" TargetMode="External" Id="R31f4ba714df64258" /><Relationship Type="http://schemas.openxmlformats.org/officeDocument/2006/relationships/hyperlink" Target="https://meteor.aihw.gov.au/RegistrationAuthority/1" TargetMode="External" Id="R3cf3b651ca7a4514" /><Relationship Type="http://schemas.openxmlformats.org/officeDocument/2006/relationships/hyperlink" Target="https://meteor.aihw.gov.au/content/320994" TargetMode="External" Id="R8c564ea539d04b30" /><Relationship Type="http://schemas.openxmlformats.org/officeDocument/2006/relationships/hyperlink" Target="https://meteor.aihw.gov.au/content/269313" TargetMode="External" Id="Rc9ce5a9570e64bd9" /><Relationship Type="http://schemas.openxmlformats.org/officeDocument/2006/relationships/hyperlink" Target="https://meteor.aihw.gov.au/content/314102" TargetMode="External" Id="R1122f36f0ed9409d" /><Relationship Type="http://schemas.openxmlformats.org/officeDocument/2006/relationships/hyperlink" Target="https://meteor.aihw.gov.au/RegistrationAuthority/1" TargetMode="External" Id="Recbd32ec9e6e4dd2" /><Relationship Type="http://schemas.openxmlformats.org/officeDocument/2006/relationships/hyperlink" Target="https://meteor.aihw.gov.au/content/388295" TargetMode="External" Id="Rf8460e9284454b21" /><Relationship Type="http://schemas.openxmlformats.org/officeDocument/2006/relationships/hyperlink" Target="https://meteor.aihw.gov.au/RegistrationAuthority/1" TargetMode="External" Id="Rcb24e0cb597c48bf" /><Relationship Type="http://schemas.openxmlformats.org/officeDocument/2006/relationships/hyperlink" Target="https://meteor.aihw.gov.au/content/387541" TargetMode="External" Id="R38c0fe1cdb9a40ea" /><Relationship Type="http://schemas.openxmlformats.org/officeDocument/2006/relationships/hyperlink" Target="https://meteor.aihw.gov.au/RegistrationAuthority/1" TargetMode="External" Id="R445e00ef5c6e4738" /><Relationship Type="http://schemas.openxmlformats.org/officeDocument/2006/relationships/hyperlink" Target="https://meteor.aihw.gov.au/content/387521" TargetMode="External" Id="R0090eddb96724503" /><Relationship Type="http://schemas.openxmlformats.org/officeDocument/2006/relationships/hyperlink" Target="https://meteor.aihw.gov.au/RegistrationAuthority/1" TargetMode="External" Id="Ra507441c73294753" /><Relationship Type="http://schemas.openxmlformats.org/officeDocument/2006/relationships/hyperlink" Target="https://meteor.aihw.gov.au/content/314122" TargetMode="External" Id="R98a6916f1e5840b4" /><Relationship Type="http://schemas.openxmlformats.org/officeDocument/2006/relationships/hyperlink" Target="https://meteor.aihw.gov.au/RegistrationAuthority/1" TargetMode="External" Id="Rffd6c0ed8f78438c" /></Relationships>
</file>

<file path=word/_rels/header1.xml.rels>&#65279;<?xml version="1.0" encoding="utf-8"?><Relationships xmlns="http://schemas.openxmlformats.org/package/2006/relationships"><Relationship Type="http://schemas.openxmlformats.org/officeDocument/2006/relationships/image" Target="/media/image.png" Id="Rdfc144189d9d4c40" /></Relationships>
</file>