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f2fa60d574f8a"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89eaf7b25417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a greatest need.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r>
              <w:rPr>
                <w:rStyle w:val="row-content-rich-text"/>
              </w:rPr>
              <w:t xml:space="preserve"> 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 </w:t>
            </w: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w:t>
            </w:r>
          </w:p>
          <w:p>
            <w:pPr>
              <w:pStyle w:val="ListParagraph"/>
              <w:numPr>
                <w:ilvl w:val="0"/>
                <w:numId w:val="3"/>
              </w:numPr>
            </w:pPr>
            <w:r>
              <w:rPr>
                <w:rStyle w:val="row-content-rich-text"/>
              </w:rPr>
              <w:t xml:space="preserve">subject to child abuse; or</w:t>
            </w:r>
          </w:p>
          <w:p>
            <w:pPr>
              <w:pStyle w:val="ListParagraph"/>
              <w:numPr>
                <w:ilvl w:val="0"/>
                <w:numId w:val="3"/>
              </w:numPr>
            </w:pPr>
            <w:r>
              <w:rPr>
                <w:rStyle w:val="row-content-rich-text"/>
              </w:rPr>
              <w:t xml:space="preserve">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b0e7b7840a34e43">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w:t>
            </w:r>
          </w:p>
          <w:p>
            <w:pPr>
              <w:pStyle w:val="ListParagraph"/>
              <w:numPr>
                <w:ilvl w:val="0"/>
                <w:numId w:val="4"/>
              </w:numPr>
            </w:pPr>
            <w:r>
              <w:rPr>
                <w:rStyle w:val="row-content-rich-text"/>
              </w:rPr>
              <w:t xml:space="preserve">appropriate housing stock was either not available, or not available at an affordable cost, in the private rental market (e.g. dwellings with appropriate modifications for a person with a disability);</w:t>
            </w:r>
          </w:p>
          <w:p>
            <w:pPr>
              <w:pStyle w:val="ListParagraph"/>
              <w:numPr>
                <w:ilvl w:val="0"/>
                <w:numId w:val="4"/>
              </w:numPr>
            </w:pPr>
            <w:r>
              <w:rPr>
                <w:rStyle w:val="row-content-rich-text"/>
              </w:rPr>
              <w:t xml:space="preserve">a health condition or disability which was caused or exacerbated by the living situation.</w:t>
            </w:r>
          </w:p>
          <w:p>
            <w:pPr>
              <w:spacing w:after="160"/>
            </w:pPr>
            <w:r>
              <w:rPr>
                <w:rStyle w:val="row-content-rich-text"/>
                <w:b/>
              </w:rPr>
              <w:t xml:space="preserve">Code 4. Housing inappropriate to needs:</w:t>
            </w:r>
            <w:r>
              <w:rPr>
                <w:rStyle w:val="row-content-rich-text"/>
              </w:rPr>
              <w:t xml:space="preserve"> 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w:t>
            </w:r>
          </w:p>
          <w:p>
            <w:pPr>
              <w:pStyle w:val="ListParagraph"/>
              <w:numPr>
                <w:ilvl w:val="0"/>
                <w:numId w:val="5"/>
              </w:numPr>
            </w:pPr>
            <w:r>
              <w:rPr>
                <w:rStyle w:val="row-content-rich-text"/>
              </w:rPr>
              <w:t xml:space="preserve">lived in overcrowded situations where an additional two bedrooms was required for adequate housing according to the </w:t>
            </w:r>
            <w:hyperlink w:tooltip="A measure of the appropriateness of housing related to the household size and household composition." w:history="true" r:id="Rdacd9ace26554495">
              <w:r>
                <w:rPr>
                  <w:rStyle w:val="Hyperlink"/>
                  <w:b/>
                </w:rPr>
                <w:t xml:space="preserve">proxy occupancy standard</w:t>
              </w:r>
            </w:hyperlink>
            <w:r>
              <w:rPr>
                <w:rStyle w:val="row-content-rich-text"/>
              </w:rPr>
              <w:t xml:space="preserve">; or</w:t>
            </w:r>
          </w:p>
          <w:p>
            <w:pPr>
              <w:pStyle w:val="ListParagraph"/>
              <w:numPr>
                <w:ilvl w:val="0"/>
                <w:numId w:val="5"/>
              </w:numPr>
            </w:pPr>
            <w:r>
              <w:rPr>
                <w:rStyle w:val="row-content-rich-text"/>
              </w:rPr>
              <w:t xml:space="preserve">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w:t>
            </w:r>
          </w:p>
          <w:p>
            <w:pPr>
              <w:pStyle w:val="ListParagraph"/>
              <w:numPr>
                <w:ilvl w:val="0"/>
                <w:numId w:val="5"/>
              </w:numPr>
            </w:pPr>
            <w:r>
              <w:rPr>
                <w:rStyle w:val="row-content-rich-text"/>
              </w:rPr>
              <w:t xml:space="preserve">lived in situations where their tenure was insecure and they had received an eviction notice (either written or verbal) and they had no access to adequate legislative protection; or</w:t>
            </w:r>
          </w:p>
          <w:p>
            <w:pPr>
              <w:pStyle w:val="ListParagraph"/>
              <w:numPr>
                <w:ilvl w:val="0"/>
                <w:numId w:val="5"/>
              </w:numPr>
            </w:pPr>
            <w:r>
              <w:rPr>
                <w:rStyle w:val="row-content-rich-text"/>
              </w:rPr>
              <w:t xml:space="preserve">lived in housing that had severe structural or other maintenance problems (e.g. property had been declared unfit for human habitation, severe dampness, lacked essential facilities such as cooking or bathroom).</w:t>
            </w:r>
          </w:p>
          <w:p>
            <w:pPr/>
            <w:r>
              <w:rPr>
                <w:rStyle w:val="row-content-rich-text"/>
                <w:b/>
              </w:rPr>
              <w:t xml:space="preserve">Code 5. Very high housing costs:</w:t>
            </w:r>
            <w:r>
              <w:rPr>
                <w:rStyle w:val="row-content-rich-text"/>
              </w:rPr>
              <w:t xml:space="preserve"> 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3ec47d1cc4631">
              <w:r>
                <w:rPr>
                  <w:rStyle w:val="Hyperlink"/>
                </w:rPr>
                <w:t xml:space="preserve">Household in greatest need code N</w:t>
              </w:r>
            </w:hyperlink>
          </w:p>
          <w:p>
            <w:pPr>
              <w:spacing w:before="0" w:after="0"/>
            </w:pPr>
            <w:r>
              <w:rPr>
                <w:rStyle w:val="row-content"/>
                <w:color w:val="244061"/>
              </w:rPr>
              <w:t xml:space="preserve">       </w:t>
            </w:r>
            <w:hyperlink w:history="true" r:id="R1d337bffc7be430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fabb28f26504c7b">
              <w:r>
                <w:rPr>
                  <w:rStyle w:val="Hyperlink"/>
                </w:rPr>
                <w:t xml:space="preserve">Household in greatest need code N</w:t>
              </w:r>
            </w:hyperlink>
          </w:p>
          <w:p>
            <w:pPr>
              <w:spacing w:before="0" w:after="0"/>
            </w:pPr>
            <w:r>
              <w:rPr>
                <w:rStyle w:val="row-content"/>
                <w:color w:val="244061"/>
              </w:rPr>
              <w:t xml:space="preserve">       </w:t>
            </w:r>
            <w:hyperlink w:history="true" r:id="Rd345b521b0b148b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3da2f08dc84be1">
              <w:r>
                <w:rPr>
                  <w:rStyle w:val="Hyperlink"/>
                </w:rPr>
                <w:t xml:space="preserve">Household—greatest need reason, code N</w:t>
              </w:r>
            </w:hyperlink>
          </w:p>
          <w:p>
            <w:pPr>
              <w:spacing w:before="0" w:after="0"/>
            </w:pPr>
            <w:r>
              <w:rPr>
                <w:rStyle w:val="row-content"/>
                <w:color w:val="244061"/>
              </w:rPr>
              <w:t xml:space="preserve">       </w:t>
            </w:r>
            <w:hyperlink w:history="true" r:id="Re31166c005524446">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922367843f18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04cb2274a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367843f184786" /><Relationship Type="http://schemas.openxmlformats.org/officeDocument/2006/relationships/header" Target="/word/header1.xml" Id="R9417747b0cc64d43" /><Relationship Type="http://schemas.openxmlformats.org/officeDocument/2006/relationships/settings" Target="/word/settings.xml" Id="Rb82a971837294a9b" /><Relationship Type="http://schemas.openxmlformats.org/officeDocument/2006/relationships/styles" Target="/word/styles.xml" Id="R185fb586535e4185" /><Relationship Type="http://schemas.openxmlformats.org/officeDocument/2006/relationships/hyperlink" Target="https://meteor.aihw.gov.au/RegistrationAuthority/11" TargetMode="External" Id="Rfd489eaf7b254172" /><Relationship Type="http://schemas.openxmlformats.org/officeDocument/2006/relationships/numbering" Target="/word/numbering.xml" Id="R363a7f802f704fdd" /><Relationship Type="http://schemas.openxmlformats.org/officeDocument/2006/relationships/hyperlink" Target="https://meteor.aihw.gov.au/content/327304" TargetMode="External" Id="R3b0e7b7840a34e43" /><Relationship Type="http://schemas.openxmlformats.org/officeDocument/2006/relationships/hyperlink" Target="https://meteor.aihw.gov.au/content/327448" TargetMode="External" Id="Rdacd9ace26554495" /><Relationship Type="http://schemas.openxmlformats.org/officeDocument/2006/relationships/hyperlink" Target="https://meteor.aihw.gov.au/content/270733" TargetMode="External" Id="R6583ec47d1cc4631" /><Relationship Type="http://schemas.openxmlformats.org/officeDocument/2006/relationships/hyperlink" Target="https://meteor.aihw.gov.au/RegistrationAuthority/11" TargetMode="External" Id="R1d337bffc7be430a" /><Relationship Type="http://schemas.openxmlformats.org/officeDocument/2006/relationships/hyperlink" Target="https://meteor.aihw.gov.au/content/456547" TargetMode="External" Id="Rffabb28f26504c7b" /><Relationship Type="http://schemas.openxmlformats.org/officeDocument/2006/relationships/hyperlink" Target="https://meteor.aihw.gov.au/RegistrationAuthority/11" TargetMode="External" Id="Rd345b521b0b148bc" /><Relationship Type="http://schemas.openxmlformats.org/officeDocument/2006/relationships/hyperlink" Target="https://meteor.aihw.gov.au/content/301720" TargetMode="External" Id="R8f3da2f08dc84be1" /><Relationship Type="http://schemas.openxmlformats.org/officeDocument/2006/relationships/hyperlink" Target="https://meteor.aihw.gov.au/RegistrationAuthority/11" TargetMode="External" Id="Re31166c005524446" /></Relationships>
</file>

<file path=word/_rels/header1.xml.rels>&#65279;<?xml version="1.0" encoding="utf-8"?><Relationships xmlns="http://schemas.openxmlformats.org/package/2006/relationships"><Relationship Type="http://schemas.openxmlformats.org/officeDocument/2006/relationships/image" Target="/media/image.png" Id="Rf6404cb2274a41de" /></Relationships>
</file>