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c856a0dc51746c2"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service—residual expenditure (workers compensation)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service—residual expenditure (workers compensation)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295547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04a24ae48b24811">
              <w:r>
                <w:rPr>
                  <w:rStyle w:val="Hyperlink"/>
                  <w:color w:val="244061"/>
                </w:rPr>
                <w:t xml:space="preserve">Health</w:t>
              </w:r>
            </w:hyperlink>
            <w:r>
              <w:rPr>
                <w:rStyle w:val="row-content"/>
                <w:color w:val="244061"/>
              </w:rPr>
              <w:t xml:space="preserve">, Standard 08/12/2004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Expenditures by specialised mental health services that cannot be directly related to programs operated by a particular organisation or service unit (that is, can only be indirectly related to a particular organisation or service unit).   It refers to workers compensation premiums and payments made by the organisation, region or central administration on behalf of its employees and not reported elsewhere.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 to improve and substantiate financial reporting in relation to residual mental health care expenditure and assist in understanding differences in costs for similar specialised mental health service in different states or territories and regions, where these cost differences are due to differences in the extent to which support services and other services to residents/admitted patients and outpatients of an organisation or service unit may be provided by the organisation or service unit itself or by other bodies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a0b1914d4c4461e">
              <w:r>
                <w:rPr>
                  <w:rStyle w:val="Hyperlink"/>
                </w:rPr>
                <w:t xml:space="preserve">Specialised mental health service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ae596b46a9b46be">
              <w:r>
                <w:rPr>
                  <w:rStyle w:val="Hyperlink"/>
                  <w:color w:val="244061"/>
                </w:rPr>
                <w:t xml:space="preserve">Health</w:t>
              </w:r>
            </w:hyperlink>
            <w:r>
              <w:rPr>
                <w:rStyle w:val="row-content"/>
                <w:color w:val="244061"/>
              </w:rPr>
              <w:t xml:space="preserve">, Standard 01/03/2005</w:t>
            </w:r>
          </w:p>
          <w:p>
            <w:pPr>
              <w:spacing w:before="0" w:after="0"/>
            </w:pPr>
            <w:hyperlink w:history="true" r:id="R77f37b7a4db642d5">
              <w:r>
                <w:rPr>
                  <w:rStyle w:val="Hyperlink"/>
                  <w:color w:val="244061"/>
                </w:rPr>
                <w:t xml:space="preserve">Independent Hospital Pricing Authority</w:t>
              </w:r>
            </w:hyperlink>
            <w:r>
              <w:rPr>
                <w:rStyle w:val="row-content"/>
                <w:color w:val="244061"/>
              </w:rPr>
              <w:t xml:space="preserve">, Standard 16/03/2016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 are those with a primary function to provide treatment, rehabilitation or community health support targeted towards people with a mental disorder or psychiatric disability. These activities are delivered from a service or facility that is readily identifiable as both specialised and serving a mental health care function.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Hospitals and community mental health establishments and residential mental health establishments.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1f0e1bc394df4190">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concept of a specialised mental health service is not dependent on the inclusion of the service within the state or territory mental health budget.</w:t>
            </w:r>
          </w:p>
          <w:p>
            <w:pPr>
              <w:spacing w:after="160"/>
            </w:pPr>
            <w:r>
              <w:rPr>
                <w:rStyle w:val="row-content-rich-text"/>
              </w:rPr>
              <w:t xml:space="preserve">A service is not defined as a specialised mental health service solely because its clients include people affected by a mental disorder or psychiatric disability.</w:t>
            </w:r>
          </w:p>
          <w:p>
            <w:pPr>
              <w:spacing w:after="160"/>
            </w:pPr>
            <w:r>
              <w:rPr>
                <w:rStyle w:val="row-content-rich-text"/>
              </w:rPr>
              <w:t xml:space="preserve">The definition excludes specialist drug and alcohol services and services for people with intellectual disabilities, except where they are established to assist people affected by a mental disorder who also have drug and alcohol related disorders or intellectual disability.</w:t>
            </w:r>
          </w:p>
          <w:p>
            <w:pPr/>
            <w:r>
              <w:rPr>
                <w:rStyle w:val="row-content-rich-text"/>
              </w:rPr>
              <w:t xml:space="preserve">These services can be a sub-unit of a hospital even where the hospital is not a specialised mental health establishment itself (e.g. designated psychiatric units and wards, outpatient clinics).</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8284e2722a94dd4">
              <w:r>
                <w:rPr>
                  <w:rStyle w:val="Hyperlink"/>
                </w:rPr>
                <w:t xml:space="preserve">Residual expenditure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295450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db593a29e3f4927">
              <w:r>
                <w:rPr>
                  <w:rStyle w:val="Hyperlink"/>
                  <w:color w:val="244061"/>
                </w:rPr>
                <w:t xml:space="preserve">Health</w:t>
              </w:r>
            </w:hyperlink>
            <w:r>
              <w:rPr>
                <w:rStyle w:val="row-content"/>
                <w:color w:val="244061"/>
              </w:rPr>
              <w:t xml:space="preserve">, Standard 08/12/2004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Expenditure that cannot be directly related to programs operated by a particular organisation or service unit (that is, can only be indirectly related to a particular organisation or service unit).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54151b34e274221">
              <w:r>
                <w:rPr>
                  <w:rStyle w:val="Hyperlink"/>
                </w:rPr>
                <w:t xml:space="preserve">Financial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e8f6911209a47e3">
              <w:r>
                <w:rPr>
                  <w:rStyle w:val="Hyperlink"/>
                </w:rPr>
                <w:t xml:space="preserve">Specialised mental health service—residual expenditure (workers compensation), total Australian currency N[N(8)]</w:t>
              </w:r>
            </w:hyperlink>
          </w:p>
          <w:p>
            <w:pPr>
              <w:pStyle w:val="registration-status"/>
              <w:spacing w:before="0" w:after="0"/>
            </w:pPr>
            <w:hyperlink w:history="true" r:id="Rad7051d3b8804128">
              <w:r>
                <w:rPr>
                  <w:rStyle w:val="Hyperlink"/>
                  <w:color w:val="244061"/>
                </w:rPr>
                <w:t xml:space="preserve">Health</w:t>
              </w:r>
            </w:hyperlink>
            <w:r>
              <w:rPr>
                <w:rStyle w:val="row-content"/>
                <w:color w:val="244061"/>
              </w:rPr>
              <w:t xml:space="preserve">, Superseded 16/01/2020</w:t>
            </w:r>
          </w:p>
          <w:p>
            <w:r>
              <w:br/>
            </w:r>
            <w:hyperlink w:history="true" r:id="Ra8fe9bb7c5624b58">
              <w:r>
                <w:rPr>
                  <w:rStyle w:val="Hyperlink"/>
                </w:rPr>
                <w:t xml:space="preserve">Specialised mental health service—residual expenditure (workers compensation), total Australian currency N[N(8)]</w:t>
              </w:r>
            </w:hyperlink>
          </w:p>
          <w:p>
            <w:pPr>
              <w:pStyle w:val="registration-status"/>
              <w:spacing w:before="0" w:after="0"/>
            </w:pPr>
            <w:hyperlink w:history="true" r:id="Rdff8aa40f2d34d64">
              <w:r>
                <w:rPr>
                  <w:rStyle w:val="Hyperlink"/>
                  <w:color w:val="244061"/>
                </w:rPr>
                <w:t xml:space="preserve">Health</w:t>
              </w:r>
            </w:hyperlink>
            <w:r>
              <w:rPr>
                <w:rStyle w:val="row-content"/>
                <w:color w:val="244061"/>
              </w:rPr>
              <w:t xml:space="preserve">, Standard 16/01/2020</w:t>
            </w:r>
          </w:p>
          <w:p>
            <w:r>
              <w:br/>
            </w:r>
          </w:p>
        </w:tc>
      </w:tr>
    </w:tbl>
    <w:p>
      <w:r>
        <w:br/>
      </w:r>
      <w:r>
        <w:br/>
      </w:r>
    </w:p>
    <w:sectPr>
      <w:footerReference xmlns:r="http://schemas.openxmlformats.org/officeDocument/2006/relationships" w:type="default" r:id="R9bfe479417a747e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295547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d21202d8c4e42f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bfe479417a747ea" /><Relationship Type="http://schemas.openxmlformats.org/officeDocument/2006/relationships/header" Target="/word/header1.xml" Id="R08fd7d7261204d3d" /><Relationship Type="http://schemas.openxmlformats.org/officeDocument/2006/relationships/settings" Target="/word/settings.xml" Id="R5b42a86a82b0409d" /><Relationship Type="http://schemas.openxmlformats.org/officeDocument/2006/relationships/styles" Target="/word/styles.xml" Id="Rc3adfea2cd8b4b3b" /><Relationship Type="http://schemas.openxmlformats.org/officeDocument/2006/relationships/hyperlink" Target="https://meteor.aihw.gov.au/RegistrationAuthority/12" TargetMode="External" Id="R504a24ae48b24811" /><Relationship Type="http://schemas.openxmlformats.org/officeDocument/2006/relationships/hyperlink" Target="https://meteor.aihw.gov.au/content/268984" TargetMode="External" Id="R4a0b1914d4c4461e" /><Relationship Type="http://schemas.openxmlformats.org/officeDocument/2006/relationships/hyperlink" Target="https://meteor.aihw.gov.au/RegistrationAuthority/12" TargetMode="External" Id="R5ae596b46a9b46be" /><Relationship Type="http://schemas.openxmlformats.org/officeDocument/2006/relationships/hyperlink" Target="https://meteor.aihw.gov.au/RegistrationAuthority/3" TargetMode="External" Id="R77f37b7a4db642d5" /><Relationship Type="http://schemas.openxmlformats.org/officeDocument/2006/relationships/hyperlink" Target="https://meteor.aihw.gov.au/content/281121" TargetMode="External" Id="R1f0e1bc394df4190" /><Relationship Type="http://schemas.openxmlformats.org/officeDocument/2006/relationships/hyperlink" Target="https://meteor.aihw.gov.au/content/295450" TargetMode="External" Id="Rf8284e2722a94dd4" /><Relationship Type="http://schemas.openxmlformats.org/officeDocument/2006/relationships/hyperlink" Target="https://meteor.aihw.gov.au/RegistrationAuthority/12" TargetMode="External" Id="Redb593a29e3f4927" /><Relationship Type="http://schemas.openxmlformats.org/officeDocument/2006/relationships/hyperlink" Target="https://meteor.aihw.gov.au/content/274646" TargetMode="External" Id="R154151b34e274221" /><Relationship Type="http://schemas.openxmlformats.org/officeDocument/2006/relationships/hyperlink" Target="https://meteor.aihw.gov.au/content/290160" TargetMode="External" Id="R1e8f6911209a47e3" /><Relationship Type="http://schemas.openxmlformats.org/officeDocument/2006/relationships/hyperlink" Target="https://meteor.aihw.gov.au/RegistrationAuthority/12" TargetMode="External" Id="Rad7051d3b8804128" /><Relationship Type="http://schemas.openxmlformats.org/officeDocument/2006/relationships/hyperlink" Target="https://meteor.aihw.gov.au/content/722149" TargetMode="External" Id="Ra8fe9bb7c5624b58" /><Relationship Type="http://schemas.openxmlformats.org/officeDocument/2006/relationships/hyperlink" Target="https://meteor.aihw.gov.au/RegistrationAuthority/12" TargetMode="External" Id="Rdff8aa40f2d34d64" /></Relationships>
</file>

<file path=word/_rels/header1.xml.rels>&#65279;<?xml version="1.0" encoding="utf-8"?><Relationships xmlns="http://schemas.openxmlformats.org/package/2006/relationships"><Relationship Type="http://schemas.openxmlformats.org/officeDocument/2006/relationships/image" Target="/media/image.png" Id="R3d21202d8c4e42f1" /></Relationships>
</file>