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db6155a56343fa"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9ea56e7174111">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ac59d1c802b44c92">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a49ffd6d9a4cc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fcd633f6e804da5">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This metadata item may be used to describe the extent of participation in life situations for an individual with a disability.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Extent of participation is always associated with a health condition. For example, a restriction in participation in exchange of information may be recorded when the person has had a stroke, but not when the restriction is associated only with linguistic diversity, without a related health condition.</w:t>
            </w:r>
          </w:p>
          <w:p>
            <w:pPr>
              <w:spacing w:after="160"/>
            </w:pPr>
            <w:r>
              <w:rPr>
                <w:rStyle w:val="row-content-rich-text"/>
              </w:rPr>
              <w:t xml:space="preserve">A value is attached to restriction of participation (i.e. a participation restriction is a disadvantage). The value is dependent on cultural norms, so that an individual can be disadvantaged in one group or location and not in another place.</w:t>
            </w:r>
          </w:p>
          <w:p>
            <w:pPr>
              <w:spacing w:after="160"/>
            </w:pPr>
            <w:r>
              <w:rPr>
                <w:rStyle w:val="row-content-rich-text"/>
              </w:rPr>
              <w:t xml:space="preserve">The ICF is intended to be grounded in a human rights philosophy, and its relationship to the UN Standard Rules on </w:t>
            </w:r>
            <w:r>
              <w:rPr>
                <w:rStyle w:val="row-content-rich-text"/>
                <w:i/>
              </w:rPr>
              <w:t xml:space="preserve">Equalization of Opportunities for Persons with Disabilities</w:t>
            </w:r>
            <w:r>
              <w:rPr>
                <w:rStyle w:val="row-content-rich-text"/>
              </w:rPr>
              <w:t xml:space="preserve"> endorsed by the United Nations in 1994 is acknowledged. The purpose of the Rules is to ensure that people with disabilities, as members of their societies, may exercise the same rights and obligations as others.</w:t>
            </w:r>
          </w:p>
          <w:p>
            <w:pPr>
              <w:spacing w:after="160"/>
            </w:pPr>
            <w:r>
              <w:rPr>
                <w:rStyle w:val="row-content-rich-text"/>
              </w:rPr>
              <w:t xml:space="preserve">This metadata item gives an external rating of the extent of restriction in participation in terms of duration, frequency, manner or outcome. The coding is used with specified Participation domains, for example, 'mild restriction of participation in mobility'.</w:t>
            </w:r>
          </w:p>
          <w:p>
            <w:pPr>
              <w:spacing w:after="160"/>
            </w:pPr>
            <w:r>
              <w:rPr>
                <w:rStyle w:val="row-content-rich-text"/>
              </w:rPr>
              <w:t xml:space="preserve">CODE 9     Not applicable</w:t>
            </w:r>
          </w:p>
          <w:p>
            <w:pPr/>
            <w:r>
              <w:rPr>
                <w:rStyle w:val="row-content-rich-text"/>
              </w:rPr>
              <w:t xml:space="preserve">This code is recorded when participation in a life area is not relevant, such as employment for an infant.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Participation domains. For example, a 'mild restriction in participation in exchange of information'.</w:t>
            </w:r>
          </w:p>
          <w:p>
            <w:pPr>
              <w:spacing w:after="160"/>
            </w:pPr>
            <w:r>
              <w:rPr>
                <w:rStyle w:val="row-content-rich-text"/>
              </w:rPr>
              <w:t xml:space="preserve">The life area in which an individual experiences a participation restriction is indicated in the metadata item </w:t>
            </w:r>
            <w:hyperlink w:history="true" r:id="R5d6b358de7404915">
              <w:r>
                <w:rPr>
                  <w:rStyle w:val="Hyperlink"/>
                  <w:i/>
                </w:rPr>
                <w:t xml:space="preserve">Activities and participation code N[NNN]</w:t>
              </w:r>
            </w:hyperlink>
            <w:r>
              <w:rPr>
                <w:rStyle w:val="row-content-rich-text"/>
              </w:rPr>
              <w:t xml:space="preserve">. The levels of satisfaction with participation in a given life area are indicated in </w:t>
            </w:r>
            <w:hyperlink w:history="true" r:id="R90237465fef340b1">
              <w:r>
                <w:rPr>
                  <w:rStyle w:val="Hyperlink"/>
                  <w:i/>
                </w:rPr>
                <w:t xml:space="preserve">Participation satisfaction level code X</w:t>
              </w:r>
            </w:hyperlink>
            <w:r>
              <w:rPr>
                <w:rStyle w:val="row-content-rich-text"/>
              </w:rPr>
              <w:t xml:space="preserve">.</w:t>
            </w:r>
          </w:p>
          <w:p>
            <w:pPr/>
            <w:r>
              <w:rPr>
                <w:rStyle w:val="row-content-rich-text"/>
              </w:rPr>
              <w:t xml:space="preserve">Calibration and mapping of existing tools within this international framework will be an important process towards greater national consistency in recording the extent of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64a54ddb1e214c8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5a71a0ea36494275">
              <w:r>
                <w:rPr>
                  <w:rStyle w:val="Hyperlink"/>
                </w:rPr>
                <w:t xml:space="preserve">http://www.aihw.gov.au/disability/icf/index.html</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575cdc13f34cf6">
              <w:r>
                <w:rPr>
                  <w:rStyle w:val="Hyperlink"/>
                </w:rPr>
                <w:t xml:space="preserve">Participation extent code (ICF 2001) N</w:t>
              </w:r>
            </w:hyperlink>
          </w:p>
          <w:p>
            <w:pPr>
              <w:spacing w:before="0" w:after="0"/>
            </w:pPr>
            <w:r>
              <w:rPr>
                <w:rStyle w:val="row-content"/>
                <w:color w:val="244061"/>
              </w:rPr>
              <w:t xml:space="preserve">       </w:t>
            </w:r>
            <w:hyperlink w:history="true" r:id="R2be738f0c25e4df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78439b6329f4d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7a422636e445d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3d66c44aec3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a2d6d5909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66c44aec34564" /><Relationship Type="http://schemas.openxmlformats.org/officeDocument/2006/relationships/header" Target="/word/header1.xml" Id="R5a20df719fcc4053" /><Relationship Type="http://schemas.openxmlformats.org/officeDocument/2006/relationships/settings" Target="/word/settings.xml" Id="Rc54f3e91a61b4ae7" /><Relationship Type="http://schemas.openxmlformats.org/officeDocument/2006/relationships/styles" Target="/word/styles.xml" Id="R3256e18e2cfa4590" /><Relationship Type="http://schemas.openxmlformats.org/officeDocument/2006/relationships/hyperlink" Target="https://meteor.aihw.gov.au/RegistrationAuthority/1" TargetMode="External" Id="R5059ea56e7174111" /><Relationship Type="http://schemas.openxmlformats.org/officeDocument/2006/relationships/hyperlink" Target="https://meteor.aihw.gov.au/content/327312" TargetMode="External" Id="Rac59d1c802b44c92" /><Relationship Type="http://schemas.openxmlformats.org/officeDocument/2006/relationships/hyperlink" Target="https://meteor.aihw.gov.au/content/270548" TargetMode="External" Id="R10a49ffd6d9a4cc7" /><Relationship Type="http://schemas.openxmlformats.org/officeDocument/2006/relationships/hyperlink" Target="https://meteor.aihw.gov.au/content/327304" TargetMode="External" Id="R8fcd633f6e804da5" /><Relationship Type="http://schemas.openxmlformats.org/officeDocument/2006/relationships/hyperlink" Target="https://meteor.aihw.gov.au/content/288273" TargetMode="External" Id="R5d6b358de7404915" /><Relationship Type="http://schemas.openxmlformats.org/officeDocument/2006/relationships/hyperlink" Target="https://meteor.aihw.gov.au/content/288509" TargetMode="External" Id="R90237465fef340b1" /><Relationship Type="http://schemas.openxmlformats.org/officeDocument/2006/relationships/numbering" Target="/word/numbering.xml" Id="Rc60ded1e664a476b" /><Relationship Type="http://schemas.openxmlformats.org/officeDocument/2006/relationships/hyperlink" Target="http://www.who.int/classifications/icf/en/" TargetMode="External" Id="R64a54ddb1e214c80" /><Relationship Type="http://schemas.openxmlformats.org/officeDocument/2006/relationships/hyperlink" Target="http://www.aihw.gov.au/disability/icf/index.html" TargetMode="External" Id="R5a71a0ea36494275" /><Relationship Type="http://schemas.openxmlformats.org/officeDocument/2006/relationships/hyperlink" Target="https://meteor.aihw.gov.au/content/320555" TargetMode="External" Id="Rf4575cdc13f34cf6" /><Relationship Type="http://schemas.openxmlformats.org/officeDocument/2006/relationships/hyperlink" Target="https://meteor.aihw.gov.au/RegistrationAuthority/1" TargetMode="External" Id="R2be738f0c25e4dff" /><Relationship Type="http://schemas.openxmlformats.org/officeDocument/2006/relationships/hyperlink" Target="https://meteor.aihw.gov.au/RegistrationAuthority/16" TargetMode="External" Id="Rf78439b6329f4dcd" /><Relationship Type="http://schemas.openxmlformats.org/officeDocument/2006/relationships/hyperlink" Target="https://meteor.aihw.gov.au/RegistrationAuthority/12" TargetMode="External" Id="R667a422636e445d1" /></Relationships>
</file>

<file path=word/_rels/header1.xml.rels>&#65279;<?xml version="1.0" encoding="utf-8"?><Relationships xmlns="http://schemas.openxmlformats.org/package/2006/relationships"><Relationship Type="http://schemas.openxmlformats.org/officeDocument/2006/relationships/image" Target="/media/image.png" Id="Rd97a2d6d59094edc" /></Relationships>
</file>