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9d16cb61f143d6" /></Relationships>
</file>

<file path=word/document.xml><?xml version="1.0" encoding="utf-8"?>
<w:document xmlns:r="http://schemas.openxmlformats.org/officeDocument/2006/relationships" xmlns:w="http://schemas.openxmlformats.org/wordprocessingml/2006/main">
  <w:body>
    <w:p>
      <w:pPr>
        <w:pStyle w:val="Title"/>
      </w:pPr>
      <w:r>
        <w:t>Diabetes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b02b111ea4c7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Data Set Specification (DSS) aims to ensure national consistency in relation to defining, monitoring and recording information on patients diagnosed with diabetes.</w:t>
            </w:r>
          </w:p>
          <w:p>
            <w:pPr>
              <w:spacing w:after="160"/>
            </w:pPr>
            <w:r>
              <w:rPr>
                <w:rStyle w:val="row-content-rich-text"/>
              </w:rPr>
              <w:t xml:space="preserve">The Diabetes (clinical) DSS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DSS: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Data are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5799c06d6445b9">
              <w:r>
                <w:rPr>
                  <w:rStyle w:val="Hyperlink"/>
                </w:rPr>
                <w:t xml:space="preserve">Diabetes (clinical) NBPDS</w:t>
              </w:r>
            </w:hyperlink>
          </w:p>
          <w:p>
            <w:pPr>
              <w:spacing w:before="0" w:after="0"/>
            </w:pPr>
            <w:r>
              <w:rPr>
                <w:rStyle w:val="row-content"/>
                <w:color w:val="244061"/>
              </w:rPr>
              <w:t xml:space="preserve">       </w:t>
            </w:r>
            <w:hyperlink w:history="true" r:id="R03c3e80a92e247f8">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95cd4d7a587c48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cd4d7a587c48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d8490609464ba0"/>
                            <a:srcRect/>
                            <a:stretch>
                              <a:fillRect/>
                            </a:stretch>
                          </pic:blipFill>
                          <pic:spPr bwMode="auto">
                            <a:xfrm>
                              <a:off x="0" y="0"/>
                              <a:ext cx="152400" cy="152400"/>
                            </a:xfrm>
                            <a:prstGeom prst="rect">
                              <a:avLst/>
                            </a:prstGeom>
                          </pic:spPr>
                        </pic:pic>
                      </a:graphicData>
                    </a:graphic>
                  </wp:inline>
                </w:drawing>
              </w:r>
              <w:r>
                <w:rPr>
                  <w:rStyle w:val="Hyperlink"/>
                </w:rPr>
                <w:t xml:space="preserve"> Diabetes (clinical), DSS, NHIMG, Superseded 01/03/2005.pdf</w:t>
              </w:r>
            </w:hyperlink>
          </w:p>
          <w:p>
            <w:r>
              <w:rPr>
                <w:rStyle w:val="row-content"/>
              </w:rPr>
              <w:t xml:space="preserve"> (127.1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1baf4a5af460b">
                    <w:r>
                      <w:rPr>
                        <w:rStyle w:val="Hyperlink"/>
                      </w:rPr>
                      <w:t xml:space="preserve">Female—current pregnancy status,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 </w:t>
                  </w:r>
                </w:p>
                <w:p>
                  <w:pPr>
                    <w:pStyle w:val="ListParagraph"/>
                    <w:numPr>
                      <w:ilvl w:val="0"/>
                      <w:numId w:val="4"/>
                    </w:numPr>
                  </w:pPr>
                  <w:r>
                    <w:t xml:space="preserve">monitor HbA1c every 4-6 weeks or more frequently if indicated to ensure optimal metabolic control during pregnancy </w:t>
                  </w:r>
                </w:p>
                <w:p>
                  <w:pPr>
                    <w:pStyle w:val="ListParagraph"/>
                    <w:numPr>
                      <w:ilvl w:val="0"/>
                      <w:numId w:val="4"/>
                    </w:numPr>
                  </w:pPr>
                  <w:r>
                    <w:t xml:space="preserve">advise patients to monitor blood glucose frequently and urinary ketones </w:t>
                  </w:r>
                </w:p>
                <w:p>
                  <w:pPr>
                    <w:pStyle w:val="ListParagraph"/>
                    <w:numPr>
                      <w:ilvl w:val="0"/>
                      <w:numId w:val="4"/>
                    </w:numPr>
                  </w:pPr>
                  <w:r>
                    <w:t xml:space="preserve">initial assessment and on going monitoring for signs or progression of diabetes complications </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 </w:t>
                  </w:r>
                  <w:r>
                    <w:br/>
                  </w:r>
                  <w:r>
                    <w:t xml:space="preserve">        • Fasting &lt;5.5 mmol/L</w:t>
                  </w:r>
                  <w:r>
                    <w:br/>
                  </w:r>
                  <w:r>
                    <w:t xml:space="preserve">        • Post-prandial &lt; 8.0 mmol/L at 1 hour, &lt; 7mmol/L at 2 hours. </w:t>
                  </w:r>
                </w:p>
                <w:p>
                  <w:pPr>
                    <w:pStyle w:val="ListParagraph"/>
                    <w:numPr>
                      <w:ilvl w:val="0"/>
                      <w:numId w:val="5"/>
                    </w:numPr>
                  </w:pPr>
                  <w:r>
                    <w:t xml:space="preserve">HbA1c levels within normal range for pregnancy. (The reference range for HbA1c will be lower during pregnancy). </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 </w:t>
                  </w:r>
                </w:p>
                <w:p>
                  <w:pPr>
                    <w:pStyle w:val="ListParagraph"/>
                    <w:numPr>
                      <w:ilvl w:val="0"/>
                      <w:numId w:val="6"/>
                    </w:numPr>
                  </w:pPr>
                  <w:r>
                    <w:t xml:space="preserve">review and adjust treatment, </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3449b105b49b6">
                    <w:r>
                      <w:rPr>
                        <w:rStyle w:val="Hyperlink"/>
                      </w:rPr>
                      <w:t xml:space="preserve">Health service event—fasting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803cae5cd4c13">
                    <w:r>
                      <w:rPr>
                        <w:rStyle w:val="Hyperlink"/>
                      </w:rPr>
                      <w:t xml:space="preserve">Health service event—referral to ophthalmologist status (last 12 months),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f83561bce402d">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 </w:t>
                  </w:r>
                </w:p>
                <w:p>
                  <w:pPr>
                    <w:pStyle w:val="ListParagraph"/>
                    <w:numPr>
                      <w:ilvl w:val="0"/>
                      <w:numId w:val="7"/>
                    </w:numPr>
                  </w:pPr>
                  <w:r>
                    <w:t xml:space="preserve">consider treatment with Angiotensin-converting enzyme (ACE) inhibitor </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quantitate albuminuria by measuring 24-hour urinary protein. </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1fb1336524318">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 </w:t>
                  </w:r>
                </w:p>
                <w:p>
                  <w:pPr>
                    <w:pStyle w:val="ListParagraph"/>
                    <w:numPr>
                      <w:ilvl w:val="0"/>
                      <w:numId w:val="9"/>
                    </w:numPr>
                  </w:pPr>
                  <w:r>
                    <w:t xml:space="preserve">consider treatment with Angiotensin-converting enzyme (ACE) inhibitor </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quantitate albuminuria by measuring 24-hour urinary protein. </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d8a661b8e40c5">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 </w:t>
                  </w:r>
                </w:p>
                <w:p>
                  <w:pPr>
                    <w:pStyle w:val="ListParagraph"/>
                    <w:numPr>
                      <w:ilvl w:val="0"/>
                      <w:numId w:val="11"/>
                    </w:numPr>
                  </w:pPr>
                  <w:r>
                    <w:t xml:space="preserve">consider treatment with Angiotensin-converting enzyme (ACE) inhibitor </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quantitate albuminuria by measuring 24-hour urinary protein. </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25b2e5dea41c9">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 </w:t>
                  </w:r>
                </w:p>
                <w:p>
                  <w:pPr>
                    <w:pStyle w:val="ListParagraph"/>
                    <w:numPr>
                      <w:ilvl w:val="0"/>
                      <w:numId w:val="13"/>
                    </w:numPr>
                  </w:pPr>
                  <w:r>
                    <w:t xml:space="preserve">consider treatment with Angiotensin-converting enzyme (ACE) inhibitor </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quantitate albuminuria by measuring 24-hour urinary protein. </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d917f61694c68">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164fa16d64081">
                    <w:r>
                      <w:rPr>
                        <w:rStyle w:val="Hyperlink"/>
                      </w:rPr>
                      <w:t xml:space="preserve">Patient—diagnosis date (diabetes mellitus),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6a8625d8d4abd">
                    <w:r>
                      <w:rPr>
                        <w:rStyle w:val="Hyperlink"/>
                      </w:rPr>
                      <w:t xml:space="preserve">Patient—initial visit since diagnosis status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caad1bb044880">
                    <w:r>
                      <w:rPr>
                        <w:rStyle w:val="Hyperlink"/>
                      </w:rPr>
                      <w:t xml:space="preserve">Patient—insulin start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7a6c75ba74306">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fe1ff506945e8">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5"/>
                    </w:numPr>
                  </w:pPr>
                  <w:r>
                    <w:t xml:space="preserve">At diagnosis and then every 1-2 years for patients whose diabetes onset was at age 30 years or more. </w:t>
                  </w:r>
                </w:p>
                <w:p>
                  <w:pPr>
                    <w:pStyle w:val="ListParagraph"/>
                    <w:numPr>
                      <w:ilvl w:val="0"/>
                      <w:numId w:val="15"/>
                    </w:numPr>
                  </w:pPr>
                  <w:r>
                    <w:t xml:space="preserve">Within five years of diagnosis and then every 1-2 years for patients whose diabetes onset was at age less than 30 years. </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7128e62a74230">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51e7f0c49469b">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110d44bc34304">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03d4b0a3e42ca">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63fd16e104a5b">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6558c965441df">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6"/>
                    </w:numPr>
                  </w:pPr>
                  <w:r>
                    <w:t xml:space="preserve">To reduce total Cholesterols to less than 5.5 mmol/L</w:t>
                  </w:r>
                </w:p>
                <w:p>
                  <w:pPr>
                    <w:pStyle w:val="ListParagraph"/>
                    <w:numPr>
                      <w:ilvl w:val="0"/>
                      <w:numId w:val="16"/>
                    </w:numPr>
                  </w:pPr>
                  <w:r>
                    <w:t xml:space="preserve">To reduce triglyceride levels to less than 2.0 mmol/L </w:t>
                  </w:r>
                </w:p>
                <w:p>
                  <w:pPr>
                    <w:pStyle w:val="ListParagraph"/>
                    <w:numPr>
                      <w:ilvl w:val="0"/>
                      <w:numId w:val="16"/>
                    </w:numPr>
                  </w:pPr>
                  <w:r>
                    <w:t xml:space="preserve">To increase high density lipoprotein Cholesterols to more than or equal to 1.0 mmol/L. </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87d3b88bb44c1">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3498dd22d4376">
                    <w:r>
                      <w:rPr>
                        <w:rStyle w:val="Hyperlink"/>
                      </w:rPr>
                      <w:t xml:space="preserve">Person—creatinine serum level, micromoles per litre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b5d9db01740f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8b915e1b843a0">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a048253b34537">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7"/>
                    </w:numPr>
                  </w:pPr>
                  <w:r>
                    <w:t xml:space="preserve">establishment of targets of treatment </w:t>
                  </w:r>
                </w:p>
                <w:p>
                  <w:pPr>
                    <w:pStyle w:val="ListParagraph"/>
                    <w:numPr>
                      <w:ilvl w:val="0"/>
                      <w:numId w:val="17"/>
                    </w:numPr>
                  </w:pPr>
                  <w:r>
                    <w:t xml:space="preserve">healthy eating plan </w:t>
                  </w:r>
                </w:p>
                <w:p>
                  <w:pPr>
                    <w:pStyle w:val="ListParagraph"/>
                    <w:numPr>
                      <w:ilvl w:val="0"/>
                      <w:numId w:val="17"/>
                    </w:numPr>
                  </w:pPr>
                  <w:r>
                    <w:t xml:space="preserve">education in self-monitoring, </w:t>
                  </w:r>
                </w:p>
                <w:p>
                  <w:pPr>
                    <w:pStyle w:val="ListParagraph"/>
                    <w:numPr>
                      <w:ilvl w:val="0"/>
                      <w:numId w:val="17"/>
                    </w:numPr>
                  </w:pPr>
                  <w:r>
                    <w:t xml:space="preserve">adjustment of treatment and in approaches to coping with emergencies </w:t>
                  </w:r>
                </w:p>
                <w:p>
                  <w:pPr>
                    <w:pStyle w:val="ListParagraph"/>
                    <w:numPr>
                      <w:ilvl w:val="0"/>
                      <w:numId w:val="17"/>
                    </w:numPr>
                  </w:pPr>
                  <w:r>
                    <w:t xml:space="preserve">exercise program </w:t>
                  </w:r>
                </w:p>
                <w:p>
                  <w:pPr>
                    <w:pStyle w:val="ListParagraph"/>
                    <w:numPr>
                      <w:ilvl w:val="0"/>
                      <w:numId w:val="17"/>
                    </w:numPr>
                  </w:pPr>
                  <w:r>
                    <w:t xml:space="preserve">risk factor reduction, e.g. smoking cessation </w:t>
                  </w:r>
                </w:p>
                <w:p>
                  <w:pPr>
                    <w:pStyle w:val="ListParagraph"/>
                    <w:numPr>
                      <w:ilvl w:val="0"/>
                      <w:numId w:val="17"/>
                    </w:numPr>
                  </w:pPr>
                  <w:r>
                    <w:t xml:space="preserve">use of oral hypoglycaemic agents, if required </w:t>
                  </w:r>
                </w:p>
                <w:p>
                  <w:pPr>
                    <w:pStyle w:val="ListParagraph"/>
                    <w:numPr>
                      <w:ilvl w:val="0"/>
                      <w:numId w:val="17"/>
                    </w:numPr>
                  </w:pPr>
                  <w:r>
                    <w:t xml:space="preserve">use of insulin, if required </w:t>
                  </w:r>
                </w:p>
                <w:p>
                  <w:pPr>
                    <w:pStyle w:val="ListParagraph"/>
                    <w:numPr>
                      <w:ilvl w:val="0"/>
                      <w:numId w:val="17"/>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ffa35d35741aa">
                    <w:r>
                      <w:rPr>
                        <w:rStyle w:val="Hyperlink"/>
                      </w:rPr>
                      <w:t xml:space="preserve">Person—dyslipidaemia treatment status (anti-lipid medication),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965f58234480f">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ebf2f09d5475b">
                    <w:r>
                      <w:rPr>
                        <w:rStyle w:val="Hyperlink"/>
                      </w:rPr>
                      <w:t xml:space="preserve">Person—foot deformity status,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8"/>
                    </w:numPr>
                  </w:pPr>
                  <w:r>
                    <w:t xml:space="preserve">feet should be examined every 6 months or at every visit if high risk foot or active foot problem. </w:t>
                  </w:r>
                </w:p>
                <w:p>
                  <w:pPr>
                    <w:pStyle w:val="ListParagraph"/>
                    <w:numPr>
                      <w:ilvl w:val="0"/>
                      <w:numId w:val="18"/>
                    </w:numPr>
                  </w:pPr>
                  <w:r>
                    <w:t xml:space="preserve">refer to specialists experienced in the care of the diabetic foot if infection or ulceration is present. </w:t>
                  </w:r>
                </w:p>
                <w:p>
                  <w:pPr>
                    <w:pStyle w:val="ListParagraph"/>
                    <w:numPr>
                      <w:ilvl w:val="0"/>
                      <w:numId w:val="18"/>
                    </w:numPr>
                  </w:pPr>
                  <w:r>
                    <w:t xml:space="preserve">ensure that patients with 'high-risk foot' or an active foot problem receive appropriate care from specialists and podiatrists expert in the treatment of diabetic foot problems. </w:t>
                  </w:r>
                </w:p>
                <w:p>
                  <w:pPr>
                    <w:pStyle w:val="ListParagraph"/>
                    <w:numPr>
                      <w:ilvl w:val="0"/>
                      <w:numId w:val="18"/>
                    </w:numPr>
                  </w:pPr>
                  <w:r>
                    <w:t xml:space="preserve">to identify the 'high-risk foot' as indicated by a past history of foot problems, especially ulceration, and/or the presence of Peripheral neuropathy</w:t>
                  </w:r>
                </w:p>
                <w:p>
                  <w:pPr>
                    <w:pStyle w:val="ListParagraph"/>
                    <w:numPr>
                      <w:ilvl w:val="0"/>
                      <w:numId w:val="18"/>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5af242c74497e">
                    <w:r>
                      <w:rPr>
                        <w:rStyle w:val="Hyperlink"/>
                      </w:rPr>
                      <w:t xml:space="preserve">Person—foot lesion status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e1db9dcc54b67">
                    <w:r>
                      <w:rPr>
                        <w:rStyle w:val="Hyperlink"/>
                      </w:rPr>
                      <w:t xml:space="preserve">Person—foot ulcer history status,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19"/>
                    </w:numPr>
                  </w:pPr>
                  <w:r>
                    <w:t xml:space="preserve">ask patient about previous foot problems, neuropathic symptoms, rest pain and intermittent claudication</w:t>
                  </w:r>
                </w:p>
                <w:p>
                  <w:pPr>
                    <w:pStyle w:val="ListParagraph"/>
                    <w:numPr>
                      <w:ilvl w:val="0"/>
                      <w:numId w:val="19"/>
                    </w:numPr>
                  </w:pPr>
                  <w:r>
                    <w:t xml:space="preserve">inspect the feet (whole foot, nails, between the toes) to identify active foot problems and the 'high-risk foot'</w:t>
                  </w:r>
                </w:p>
                <w:p>
                  <w:pPr>
                    <w:pStyle w:val="ListParagraph"/>
                    <w:numPr>
                      <w:ilvl w:val="0"/>
                      <w:numId w:val="19"/>
                    </w:numPr>
                  </w:pPr>
                  <w:r>
                    <w:t xml:space="preserve">assess footwear</w:t>
                  </w:r>
                </w:p>
                <w:p>
                  <w:pPr>
                    <w:pStyle w:val="ListParagraph"/>
                    <w:numPr>
                      <w:ilvl w:val="0"/>
                      <w:numId w:val="19"/>
                    </w:numPr>
                  </w:pPr>
                  <w:r>
                    <w:t xml:space="preserve">check peripheral pulses</w:t>
                  </w:r>
                </w:p>
                <w:p>
                  <w:pPr>
                    <w:pStyle w:val="ListParagraph"/>
                    <w:numPr>
                      <w:ilvl w:val="0"/>
                      <w:numId w:val="19"/>
                    </w:numPr>
                  </w:pPr>
                  <w:r>
                    <w:t xml:space="preserve">examine for neuropathy by testing reflexes and sensation preferably using tuning fork, 10 g monofilament and/or biothesiometer.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dcfd19e1b4a6b">
                    <w:r>
                      <w:rPr>
                        <w:rStyle w:val="Hyperlink"/>
                      </w:rPr>
                      <w:t xml:space="preserve">Person—foot ulcer status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083600de743ed">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af2c4a48544a2">
                    <w:r>
                      <w:rPr>
                        <w:rStyle w:val="Hyperlink"/>
                      </w:rPr>
                      <w:t xml:space="preserve">Person—health professionals attended for diabetes mellitus (last 12 months),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8b3038c074fdc">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3e3a5dc324638">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0"/>
                    </w:numPr>
                  </w:pPr>
                  <w:r>
                    <w:t xml:space="preserve">every 1-2 years (if normal) </w:t>
                  </w:r>
                </w:p>
                <w:p>
                  <w:pPr>
                    <w:pStyle w:val="ListParagraph"/>
                    <w:numPr>
                      <w:ilvl w:val="0"/>
                      <w:numId w:val="20"/>
                    </w:numPr>
                  </w:pPr>
                  <w:r>
                    <w:t xml:space="preserve">every 3-6 months (if abnormal or on treatment)</w:t>
                  </w:r>
                </w:p>
                <w:p>
                  <w:r>
                    <w:t xml:space="preserve">and the target is:</w:t>
                  </w:r>
                </w:p>
                <w:p>
                  <w:pPr>
                    <w:pStyle w:val="ListParagraph"/>
                    <w:numPr>
                      <w:ilvl w:val="0"/>
                      <w:numId w:val="21"/>
                    </w:numPr>
                  </w:pPr>
                  <w:r>
                    <w:t xml:space="preserve">to increase HDL Cholesterol to more than or equal to 1.0 mmol/L</w:t>
                  </w:r>
                </w:p>
                <w:p>
                  <w:pPr>
                    <w:pStyle w:val="ListParagraph"/>
                    <w:numPr>
                      <w:ilvl w:val="0"/>
                      <w:numId w:val="21"/>
                    </w:numPr>
                  </w:pPr>
                  <w:r>
                    <w:t xml:space="preserve">to reduce total Cholesterol to less than 5.5 mmol/L </w:t>
                  </w:r>
                </w:p>
                <w:p>
                  <w:pPr>
                    <w:pStyle w:val="ListParagraph"/>
                    <w:numPr>
                      <w:ilvl w:val="0"/>
                      <w:numId w:val="21"/>
                    </w:numPr>
                  </w:pPr>
                  <w:r>
                    <w:t xml:space="preserve">to reduce triglyceride levels to less than 2.0 mmol/L. </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160a8ca004913">
                    <w:r>
                      <w:rPr>
                        <w:rStyle w:val="Hyperlink"/>
                      </w:rPr>
                      <w:t xml:space="preserve">Person—hypertension treatment status (antihypertensive medication),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rPr>
                      <w:i/>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w:t>
                  </w:r>
                  <w:r>
                    <w:br/>
                  </w:r>
                  <w:r>
                    <w:rPr>
                      <w:i/>
                    </w:rPr>
                    <w:t xml:space="preserve">Br Med J 1998; 317:703-13. Grossman E, Messerli FH, Goldbourt U, Curb JD, Pressel SL, Cutler JA, Savage PJ, Applegate WB, Black H, et al. Effect of diuretic-based antihypertensive treatment on cardiovascular disease risk in older diabetic patients with isolated systolic hypertension.</w:t>
                  </w:r>
                  <w:r>
                    <w:br/>
                  </w:r>
                  <w:r>
                    <w:rPr>
                      <w:i/>
                    </w:rPr>
                    <w:t xml:space="preserve">Systolic Hypertension in the Elderly Program Cooperative Research Group. JAMA 1996; 276:1886-92.</w:t>
                  </w:r>
                  <w:r>
                    <w:br/>
                  </w:r>
                  <w:r>
                    <w:rPr>
                      <w:i/>
                    </w:rPr>
                    <w:t xml:space="preserve">Hypertension in diabetes[Australian Prescriber Feb 2002]. American Journal of Preventive Medicine 2002;21.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bb2e132ff42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a5fe18f344f02">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535843f384f32">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2"/>
                    </w:numPr>
                  </w:pPr>
                  <w:r>
                    <w:t xml:space="preserve">at diagnosis and then every 12 months for patients with Type 2 diabetes, </w:t>
                  </w:r>
                </w:p>
                <w:p>
                  <w:pPr>
                    <w:pStyle w:val="ListParagraph"/>
                    <w:numPr>
                      <w:ilvl w:val="0"/>
                      <w:numId w:val="22"/>
                    </w:numPr>
                  </w:pPr>
                  <w:r>
                    <w:t xml:space="preserve">5 years post diagnosis and then every 12 months for patients with Type 1 diabetes, </w:t>
                  </w:r>
                </w:p>
                <w:p>
                  <w:pPr>
                    <w:pStyle w:val="ListParagraph"/>
                    <w:numPr>
                      <w:ilvl w:val="0"/>
                      <w:numId w:val="22"/>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fcb0cf9d24c91">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3"/>
                    </w:numPr>
                  </w:pPr>
                  <w:r>
                    <w:t xml:space="preserve">at diagnosis and then every 12 months for patients with Type 2 diabetes, </w:t>
                  </w:r>
                </w:p>
                <w:p>
                  <w:pPr>
                    <w:pStyle w:val="ListParagraph"/>
                    <w:numPr>
                      <w:ilvl w:val="0"/>
                      <w:numId w:val="23"/>
                    </w:numPr>
                  </w:pPr>
                  <w:r>
                    <w:t xml:space="preserve">5 years post diagnosis and then every 12 months for patients with Type 1 diabetes, </w:t>
                  </w:r>
                </w:p>
                <w:p>
                  <w:pPr>
                    <w:pStyle w:val="ListParagraph"/>
                    <w:numPr>
                      <w:ilvl w:val="0"/>
                      <w:numId w:val="23"/>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bd8a233bb40d0">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4"/>
                    </w:numPr>
                  </w:pPr>
                  <w:r>
                    <w:t xml:space="preserve">at diagnosis and then every 12 months for patients with Type 2 diabetes, </w:t>
                  </w:r>
                </w:p>
                <w:p>
                  <w:pPr>
                    <w:pStyle w:val="ListParagraph"/>
                    <w:numPr>
                      <w:ilvl w:val="0"/>
                      <w:numId w:val="24"/>
                    </w:numPr>
                  </w:pPr>
                  <w:r>
                    <w:t xml:space="preserve">5 years post diagnosis and then every 12 months for patients with Type 1 diabetes, </w:t>
                  </w:r>
                </w:p>
                <w:p>
                  <w:pPr>
                    <w:pStyle w:val="ListParagraph"/>
                    <w:numPr>
                      <w:ilvl w:val="0"/>
                      <w:numId w:val="24"/>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d9d615370468b">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 </w:t>
                  </w:r>
                </w:p>
                <w:p>
                  <w:pPr>
                    <w:pStyle w:val="ListParagraph"/>
                    <w:numPr>
                      <w:ilvl w:val="0"/>
                      <w:numId w:val="25"/>
                    </w:numPr>
                  </w:pPr>
                  <w:r>
                    <w:t xml:space="preserve">5 years post diagnosis and then every 12 months for patients with Type 1 diabetes, </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52e2f65be41eb">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e28b251d24a42">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6"/>
                    </w:numPr>
                  </w:pPr>
                  <w:r>
                    <w:t xml:space="preserve">at diagnosis and then every 1-2 years for patients whose diabetes onset was at age 30 years or more, </w:t>
                  </w:r>
                </w:p>
                <w:p>
                  <w:pPr>
                    <w:pStyle w:val="ListParagraph"/>
                    <w:numPr>
                      <w:ilvl w:val="0"/>
                      <w:numId w:val="26"/>
                    </w:numPr>
                  </w:pPr>
                  <w:r>
                    <w:t xml:space="preserve">within five years of diagnosis and then every 1-2 years for patients whose diabetes onset was at age less than 30 years. </w:t>
                  </w:r>
                </w:p>
                <w:p>
                  <w:r>
                    <w:t xml:space="preserve">Assessment by an ophthalmologist is essential:</w:t>
                  </w:r>
                </w:p>
                <w:p>
                  <w:pPr>
                    <w:pStyle w:val="ListParagraph"/>
                    <w:numPr>
                      <w:ilvl w:val="0"/>
                      <w:numId w:val="27"/>
                    </w:numPr>
                  </w:pPr>
                  <w:r>
                    <w:t xml:space="preserve">at initial examination if the corrected visual acuity is less than 6/6 in either eye; </w:t>
                  </w:r>
                </w:p>
                <w:p>
                  <w:pPr>
                    <w:pStyle w:val="ListParagraph"/>
                    <w:numPr>
                      <w:ilvl w:val="0"/>
                      <w:numId w:val="27"/>
                    </w:numPr>
                  </w:pPr>
                  <w:r>
                    <w:t xml:space="preserve">at subsequent examinations if declining visual acuity is detected </w:t>
                  </w:r>
                </w:p>
                <w:p>
                  <w:pPr>
                    <w:pStyle w:val="ListParagraph"/>
                    <w:numPr>
                      <w:ilvl w:val="0"/>
                      <w:numId w:val="27"/>
                    </w:numPr>
                  </w:pPr>
                  <w:r>
                    <w:t xml:space="preserve">if any retinal abnormality is detected; </w:t>
                  </w:r>
                </w:p>
                <w:p>
                  <w:pPr>
                    <w:pStyle w:val="ListParagraph"/>
                    <w:numPr>
                      <w:ilvl w:val="0"/>
                      <w:numId w:val="27"/>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879a62a74427f">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8"/>
                    </w:numPr>
                  </w:pPr>
                  <w:r>
                    <w:t xml:space="preserve">at diagnosis and then every 1-2 years for patients whose diabetes onset was at age 30 years or more, </w:t>
                  </w:r>
                </w:p>
                <w:p>
                  <w:pPr>
                    <w:pStyle w:val="ListParagraph"/>
                    <w:numPr>
                      <w:ilvl w:val="0"/>
                      <w:numId w:val="28"/>
                    </w:numPr>
                  </w:pPr>
                  <w:r>
                    <w:t xml:space="preserve">within five years of diagnosis and then every 1-2 years for patients whose diabetes onset was at age less than 30 years. </w:t>
                  </w:r>
                </w:p>
                <w:p>
                  <w:r>
                    <w:t xml:space="preserve">Assessment by an ophthalmologist is essential:</w:t>
                  </w:r>
                </w:p>
                <w:p>
                  <w:pPr>
                    <w:pStyle w:val="ListParagraph"/>
                    <w:numPr>
                      <w:ilvl w:val="0"/>
                      <w:numId w:val="29"/>
                    </w:numPr>
                  </w:pPr>
                  <w:r>
                    <w:t xml:space="preserve">at initial examination if the corrected visual acuity is less than 6/6 in either eye; </w:t>
                  </w:r>
                </w:p>
                <w:p>
                  <w:pPr>
                    <w:pStyle w:val="ListParagraph"/>
                    <w:numPr>
                      <w:ilvl w:val="0"/>
                      <w:numId w:val="29"/>
                    </w:numPr>
                  </w:pPr>
                  <w:r>
                    <w:t xml:space="preserve">at subsequent examinations if declining visual acuity is detected </w:t>
                  </w:r>
                </w:p>
                <w:p>
                  <w:pPr>
                    <w:pStyle w:val="ListParagraph"/>
                    <w:numPr>
                      <w:ilvl w:val="0"/>
                      <w:numId w:val="29"/>
                    </w:numPr>
                  </w:pPr>
                  <w:r>
                    <w:t xml:space="preserve">if any retinal abnormality is detected; </w:t>
                  </w:r>
                </w:p>
                <w:p>
                  <w:pPr>
                    <w:pStyle w:val="ListParagraph"/>
                    <w:numPr>
                      <w:ilvl w:val="0"/>
                      <w:numId w:val="29"/>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11b7b482b46ff">
                    <w:r>
                      <w:rPr>
                        <w:rStyle w:val="Hyperlink"/>
                      </w:rPr>
                      <w:t xml:space="preserve">Person—ophthalmoscopy performed status (previous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8ec0a2e774c13">
                    <w:r>
                      <w:rPr>
                        <w:rStyle w:val="Hyperlink"/>
                      </w:rPr>
                      <w:t xml:space="preserve">Person—peripheral neuropathy status,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p>
                  <w:r>
                    <w:t xml:space="preserve">References:</w:t>
                  </w:r>
                </w:p>
                <w:p>
                  <w:r>
                    <w:rPr>
                      <w:i/>
                    </w:rPr>
                    <w:t xml:space="preserve">1997 North Coast Medical, INC. San Jose, CA 95125; 800 821 - 9319</w:t>
                  </w:r>
                </w:p>
                <w:p>
                  <w:r>
                    <w:rPr>
                      <w:i/>
                    </w:rPr>
                    <w:t xml:space="preserve">Duffy MD, John C and Patout MD, Charles A. 1990. 'Management of the Insensitive Foot in Diabetes: Lessons from Hansen's Disease'. Military Medicine, 155:575-579</w:t>
                  </w:r>
                </w:p>
                <w:p>
                  <w:r>
                    <w:rPr>
                      <w:i/>
                    </w:rPr>
                    <w:t xml:space="preserve">Bell- Krotovski OTR, FAOT, FAOTA, Judith and Elizabeth Tomancik LOTR. 1987.The Repeatability of testing with Semmens-Weinstein Monofilaments. 'The Journal of Hand Surgery,' 12A: 155 - 161</w:t>
                  </w:r>
                </w:p>
                <w:p>
                  <w:r>
                    <w:rPr>
                      <w:i/>
                    </w:rPr>
                    <w:t xml:space="preserve">Edmonds M, Boulton A, Buckenham T, et al. Report of the Diabetic Foot and Amputation Group. Diabet Med 1996; 13: S27 - 42</w:t>
                  </w:r>
                </w:p>
                <w:p>
                  <w:r>
                    <w:rPr>
                      <w:i/>
                    </w:rPr>
                    <w:t xml:space="preserve">Foot Examination -an interactive guide; Aust Prescr 2002; 25:8 - 10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f4e3642754722">
                    <w:r>
                      <w:rPr>
                        <w:rStyle w:val="Hyperlink"/>
                      </w:rPr>
                      <w:t xml:space="preserve">Person—peripheral vascular disease status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6c889e6eb4aa7">
                    <w:r>
                      <w:rPr>
                        <w:rStyle w:val="Hyperlink"/>
                      </w:rPr>
                      <w:t xml:space="preserve">Person—severe hypoglycaemia history, status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5e16aee434bb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4cbcbc71e4d31">
                    <w:r>
                      <w:rPr>
                        <w:rStyle w:val="Hyperlink"/>
                      </w:rPr>
                      <w:t xml:space="preserve">Person—tobacco smoking status (previous three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13b9e7c00411d">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0"/>
                    </w:numPr>
                  </w:pPr>
                  <w:r>
                    <w:t xml:space="preserve">to reduce total cholesterol to less than 5.5 mmol/L </w:t>
                  </w:r>
                </w:p>
                <w:p>
                  <w:pPr>
                    <w:pStyle w:val="ListParagraph"/>
                    <w:numPr>
                      <w:ilvl w:val="0"/>
                      <w:numId w:val="30"/>
                    </w:numPr>
                  </w:pPr>
                  <w:r>
                    <w:t xml:space="preserve">to reduce triglyceride level to less than 2.0 mmol/L </w:t>
                  </w:r>
                </w:p>
                <w:p>
                  <w:pPr>
                    <w:pStyle w:val="ListParagraph"/>
                    <w:numPr>
                      <w:ilvl w:val="0"/>
                      <w:numId w:val="30"/>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9554eacd34505">
                    <w:r>
                      <w:rPr>
                        <w:rStyle w:val="Hyperlink"/>
                      </w:rPr>
                      <w:t xml:space="preserve">Person—visual acuity (left eye), code NN</w:t>
                    </w:r>
                  </w:hyperlink>
                </w:p>
                <w:p>
                  <w:r>
                    <w:rPr>
                      <w:b/>
                      <w:i/>
                      <w:color w:val="333333"/>
                    </w:rPr>
                    <w:t xml:space="preserve">DSS specific information:</w:t>
                  </w:r>
                </w:p>
                <w:p>
                  <w:r>
                    <w:t xml:space="preserve">Record actual result for both right and left eyes (this is a repeating field):</w:t>
                  </w:r>
                </w:p>
                <w:p>
                  <w:pPr>
                    <w:pStyle w:val="ListParagraph"/>
                    <w:numPr>
                      <w:ilvl w:val="0"/>
                      <w:numId w:val="31"/>
                    </w:numPr>
                  </w:pPr>
                  <w:r>
                    <w:t xml:space="preserve">1st field: Right eye</w:t>
                  </w:r>
                </w:p>
                <w:p>
                  <w:pPr>
                    <w:pStyle w:val="ListParagraph"/>
                    <w:numPr>
                      <w:ilvl w:val="0"/>
                      <w:numId w:val="31"/>
                    </w:numPr>
                  </w:pPr>
                  <w:r>
                    <w:t xml:space="preserve">2nd field: Left eye.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4c4165d38488b">
                    <w:r>
                      <w:rPr>
                        <w:rStyle w:val="Hyperlink"/>
                      </w:rPr>
                      <w:t xml:space="preserve">Person—visual acuity (right eye), code NN</w:t>
                    </w:r>
                  </w:hyperlink>
                </w:p>
                <w:p>
                  <w:r>
                    <w:rPr>
                      <w:b/>
                      <w:i/>
                      <w:color w:val="333333"/>
                    </w:rPr>
                    <w:t xml:space="preserve">DSS specific information:</w:t>
                  </w:r>
                </w:p>
                <w:p>
                  <w:r>
                    <w:t xml:space="preserve">Record actual result for both right and left eyes (this is a repeating field):</w:t>
                  </w:r>
                </w:p>
                <w:p>
                  <w:pPr>
                    <w:pStyle w:val="ListParagraph"/>
                    <w:numPr>
                      <w:ilvl w:val="0"/>
                      <w:numId w:val="32"/>
                    </w:numPr>
                  </w:pPr>
                  <w:r>
                    <w:t xml:space="preserve">1st field: Right eye</w:t>
                  </w:r>
                </w:p>
                <w:p>
                  <w:pPr>
                    <w:pStyle w:val="ListParagraph"/>
                    <w:numPr>
                      <w:ilvl w:val="0"/>
                      <w:numId w:val="32"/>
                    </w:numPr>
                  </w:pPr>
                  <w:r>
                    <w:t xml:space="preserve">2nd field: Left eye.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3d282a1094747">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fcf1b22ef40b3">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34b5dcfc56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f33c2d126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4b5dcfc5640b4" /><Relationship Type="http://schemas.openxmlformats.org/officeDocument/2006/relationships/header" Target="/word/header1.xml" Id="R87e33e9da9904996" /><Relationship Type="http://schemas.openxmlformats.org/officeDocument/2006/relationships/settings" Target="/word/settings.xml" Id="Rd2cdbaffe38e4558" /><Relationship Type="http://schemas.openxmlformats.org/officeDocument/2006/relationships/styles" Target="/word/styles.xml" Id="Rb3dd4889426c429e" /><Relationship Type="http://schemas.openxmlformats.org/officeDocument/2006/relationships/hyperlink" Target="https://meteor.aihw.gov.au/RegistrationAuthority/12" TargetMode="External" Id="R0b1b02b111ea4c73" /><Relationship Type="http://schemas.openxmlformats.org/officeDocument/2006/relationships/numbering" Target="/word/numbering.xml" Id="Rf46c54cbff734806" /><Relationship Type="http://schemas.openxmlformats.org/officeDocument/2006/relationships/hyperlink" Target="https://meteor.aihw.gov.au/content/304865" TargetMode="External" Id="R785799c06d6445b9" /><Relationship Type="http://schemas.openxmlformats.org/officeDocument/2006/relationships/hyperlink" Target="https://meteor.aihw.gov.au/RegistrationAuthority/12" TargetMode="External" Id="R03c3e80a92e247f8" /><Relationship Type="http://schemas.openxmlformats.org/officeDocument/2006/relationships/hyperlink" Target="https://meteor.aihw.gov.au/content/277419" TargetMode="External" Id="R95cd4d7a587c489e" /><Relationship Type="http://schemas.openxmlformats.org/officeDocument/2006/relationships/image" Target="/media/image.gif" Id="Rb0d8490609464ba0" /><Relationship Type="http://schemas.openxmlformats.org/officeDocument/2006/relationships/hyperlink" Target="https://meteor.aihw.gov.au/content/269944" TargetMode="External" Id="R9b61baf4a5af460b" /><Relationship Type="http://schemas.openxmlformats.org/officeDocument/2006/relationships/hyperlink" Target="https://meteor.aihw.gov.au/content/270131" TargetMode="External" Id="Rd173449b105b49b6" /><Relationship Type="http://schemas.openxmlformats.org/officeDocument/2006/relationships/hyperlink" Target="https://meteor.aihw.gov.au/content/270003" TargetMode="External" Id="Rf27803cae5cd4c13" /><Relationship Type="http://schemas.openxmlformats.org/officeDocument/2006/relationships/hyperlink" Target="https://meteor.aihw.gov.au/content/270344" TargetMode="External" Id="R68df83561bce402d" /><Relationship Type="http://schemas.openxmlformats.org/officeDocument/2006/relationships/hyperlink" Target="https://meteor.aihw.gov.au/content/270341" TargetMode="External" Id="R5c41fb1336524318" /><Relationship Type="http://schemas.openxmlformats.org/officeDocument/2006/relationships/hyperlink" Target="https://meteor.aihw.gov.au/content/270343" TargetMode="External" Id="R8b6d8a661b8e40c5" /><Relationship Type="http://schemas.openxmlformats.org/officeDocument/2006/relationships/hyperlink" Target="https://meteor.aihw.gov.au/content/270334" TargetMode="External" Id="Rfe425b2e5dea41c9" /><Relationship Type="http://schemas.openxmlformats.org/officeDocument/2006/relationships/hyperlink" Target="https://meteor.aihw.gov.au/content/270333" TargetMode="External" Id="Rae5d917f61694c68" /><Relationship Type="http://schemas.openxmlformats.org/officeDocument/2006/relationships/hyperlink" Target="https://meteor.aihw.gov.au/content/269930" TargetMode="External" Id="R454164fa16d64081" /><Relationship Type="http://schemas.openxmlformats.org/officeDocument/2006/relationships/hyperlink" Target="https://meteor.aihw.gov.au/content/270398" TargetMode="External" Id="R94c6a8625d8d4abd" /><Relationship Type="http://schemas.openxmlformats.org/officeDocument/2006/relationships/hyperlink" Target="https://meteor.aihw.gov.au/content/269928" TargetMode="External" Id="R8c2caad1bb044880" /><Relationship Type="http://schemas.openxmlformats.org/officeDocument/2006/relationships/hyperlink" Target="https://meteor.aihw.gov.au/content/270132" TargetMode="External" Id="R3bf7a6c75ba74306" /><Relationship Type="http://schemas.openxmlformats.org/officeDocument/2006/relationships/hyperlink" Target="https://meteor.aihw.gov.au/content/270065" TargetMode="External" Id="R1bafe1ff506945e8" /><Relationship Type="http://schemas.openxmlformats.org/officeDocument/2006/relationships/hyperlink" Target="https://meteor.aihw.gov.au/content/270072" TargetMode="External" Id="Rd467128e62a74230" /><Relationship Type="http://schemas.openxmlformats.org/officeDocument/2006/relationships/hyperlink" Target="https://meteor.aihw.gov.au/content/270073" TargetMode="External" Id="R1f251e7f0c49469b" /><Relationship Type="http://schemas.openxmlformats.org/officeDocument/2006/relationships/hyperlink" Target="https://meteor.aihw.gov.au/content/270237" TargetMode="External" Id="R135110d44bc34304" /><Relationship Type="http://schemas.openxmlformats.org/officeDocument/2006/relationships/hyperlink" Target="https://meteor.aihw.gov.au/content/270252" TargetMode="External" Id="Rdf303d4b0a3e42ca" /><Relationship Type="http://schemas.openxmlformats.org/officeDocument/2006/relationships/hyperlink" Target="https://meteor.aihw.gov.au/content/270355" TargetMode="External" Id="Reb263fd16e104a5b" /><Relationship Type="http://schemas.openxmlformats.org/officeDocument/2006/relationships/hyperlink" Target="https://meteor.aihw.gov.au/content/270403" TargetMode="External" Id="R4976558c965441df" /><Relationship Type="http://schemas.openxmlformats.org/officeDocument/2006/relationships/hyperlink" Target="https://meteor.aihw.gov.au/content/270227" TargetMode="External" Id="Ra4287d3b88bb44c1" /><Relationship Type="http://schemas.openxmlformats.org/officeDocument/2006/relationships/hyperlink" Target="https://meteor.aihw.gov.au/content/270392" TargetMode="External" Id="R1493498dd22d4376" /><Relationship Type="http://schemas.openxmlformats.org/officeDocument/2006/relationships/hyperlink" Target="https://meteor.aihw.gov.au/content/287007" TargetMode="External" Id="R87eb5d9db01740f1" /><Relationship Type="http://schemas.openxmlformats.org/officeDocument/2006/relationships/hyperlink" Target="https://meteor.aihw.gov.au/content/270194" TargetMode="External" Id="R84a8b915e1b843a0" /><Relationship Type="http://schemas.openxmlformats.org/officeDocument/2006/relationships/hyperlink" Target="https://meteor.aihw.gov.au/content/270236" TargetMode="External" Id="R43fa048253b34537" /><Relationship Type="http://schemas.openxmlformats.org/officeDocument/2006/relationships/hyperlink" Target="https://meteor.aihw.gov.au/content/270238" TargetMode="External" Id="Rc0effa35d35741aa" /><Relationship Type="http://schemas.openxmlformats.org/officeDocument/2006/relationships/hyperlink" Target="https://meteor.aihw.gov.au/content/270373" TargetMode="External" Id="R8ba965f58234480f" /><Relationship Type="http://schemas.openxmlformats.org/officeDocument/2006/relationships/hyperlink" Target="https://meteor.aihw.gov.au/content/270155" TargetMode="External" Id="Re47ebf2f09d5475b" /><Relationship Type="http://schemas.openxmlformats.org/officeDocument/2006/relationships/hyperlink" Target="https://meteor.aihw.gov.au/content/270156" TargetMode="External" Id="R93d5af242c74497e" /><Relationship Type="http://schemas.openxmlformats.org/officeDocument/2006/relationships/hyperlink" Target="https://meteor.aihw.gov.au/content/270159" TargetMode="External" Id="R582e1db9dcc54b67" /><Relationship Type="http://schemas.openxmlformats.org/officeDocument/2006/relationships/hyperlink" Target="https://meteor.aihw.gov.au/content/270158" TargetMode="External" Id="R762dcfd19e1b4a6b" /><Relationship Type="http://schemas.openxmlformats.org/officeDocument/2006/relationships/hyperlink" Target="https://meteor.aihw.gov.au/content/270325" TargetMode="External" Id="R62b083600de743ed" /><Relationship Type="http://schemas.openxmlformats.org/officeDocument/2006/relationships/hyperlink" Target="https://meteor.aihw.gov.au/content/270287" TargetMode="External" Id="R4aaaf2c4a48544a2" /><Relationship Type="http://schemas.openxmlformats.org/officeDocument/2006/relationships/hyperlink" Target="https://meteor.aihw.gov.au/content/270361" TargetMode="External" Id="Rce38b3038c074fdc" /><Relationship Type="http://schemas.openxmlformats.org/officeDocument/2006/relationships/hyperlink" Target="https://meteor.aihw.gov.au/content/270401" TargetMode="External" Id="Rbdb3e3a5dc324638" /><Relationship Type="http://schemas.openxmlformats.org/officeDocument/2006/relationships/hyperlink" Target="https://meteor.aihw.gov.au/content/270232" TargetMode="External" Id="R772160a8ca004913" /><Relationship Type="http://schemas.openxmlformats.org/officeDocument/2006/relationships/hyperlink" Target="https://meteor.aihw.gov.au/content/291036" TargetMode="External" Id="R01fbb2e132ff424a" /><Relationship Type="http://schemas.openxmlformats.org/officeDocument/2006/relationships/hyperlink" Target="https://meteor.aihw.gov.au/content/270162" TargetMode="External" Id="R8f0a5fe18f344f02" /><Relationship Type="http://schemas.openxmlformats.org/officeDocument/2006/relationships/hyperlink" Target="https://meteor.aihw.gov.au/content/270339" TargetMode="External" Id="R5b7535843f384f32" /><Relationship Type="http://schemas.openxmlformats.org/officeDocument/2006/relationships/hyperlink" Target="https://meteor.aihw.gov.au/content/270336" TargetMode="External" Id="R09dfcb0cf9d24c91" /><Relationship Type="http://schemas.openxmlformats.org/officeDocument/2006/relationships/hyperlink" Target="https://meteor.aihw.gov.au/content/270337" TargetMode="External" Id="R635bd8a233bb40d0" /><Relationship Type="http://schemas.openxmlformats.org/officeDocument/2006/relationships/hyperlink" Target="https://meteor.aihw.gov.au/content/270335" TargetMode="External" Id="R899d9d615370468b" /><Relationship Type="http://schemas.openxmlformats.org/officeDocument/2006/relationships/hyperlink" Target="https://meteor.aihw.gov.au/content/270285" TargetMode="External" Id="R91152e2f65be41eb" /><Relationship Type="http://schemas.openxmlformats.org/officeDocument/2006/relationships/hyperlink" Target="https://meteor.aihw.gov.au/content/270472" TargetMode="External" Id="Rd1ee28b251d24a42" /><Relationship Type="http://schemas.openxmlformats.org/officeDocument/2006/relationships/hyperlink" Target="https://meteor.aihw.gov.au/content/270363" TargetMode="External" Id="R4db879a62a74427f" /><Relationship Type="http://schemas.openxmlformats.org/officeDocument/2006/relationships/hyperlink" Target="https://meteor.aihw.gov.au/content/270310" TargetMode="External" Id="Rc1211b7b482b46ff" /><Relationship Type="http://schemas.openxmlformats.org/officeDocument/2006/relationships/hyperlink" Target="https://meteor.aihw.gov.au/content/270161" TargetMode="External" Id="R63a8ec0a2e774c13" /><Relationship Type="http://schemas.openxmlformats.org/officeDocument/2006/relationships/hyperlink" Target="https://meteor.aihw.gov.au/content/270051" TargetMode="External" Id="Rc25f4e3642754722" /><Relationship Type="http://schemas.openxmlformats.org/officeDocument/2006/relationships/hyperlink" Target="https://meteor.aihw.gov.au/content/270367" TargetMode="External" Id="R7426c889e6eb4aa7" /><Relationship Type="http://schemas.openxmlformats.org/officeDocument/2006/relationships/hyperlink" Target="https://meteor.aihw.gov.au/content/287316" TargetMode="External" Id="R2165e16aee434bb4" /><Relationship Type="http://schemas.openxmlformats.org/officeDocument/2006/relationships/hyperlink" Target="https://meteor.aihw.gov.au/content/270340" TargetMode="External" Id="Rab94cbcbc71e4d31" /><Relationship Type="http://schemas.openxmlformats.org/officeDocument/2006/relationships/hyperlink" Target="https://meteor.aihw.gov.au/content/270229" TargetMode="External" Id="R28f13b9e7c00411d" /><Relationship Type="http://schemas.openxmlformats.org/officeDocument/2006/relationships/hyperlink" Target="https://meteor.aihw.gov.au/content/269963" TargetMode="External" Id="Rb049554eacd34505" /><Relationship Type="http://schemas.openxmlformats.org/officeDocument/2006/relationships/hyperlink" Target="https://meteor.aihw.gov.au/content/270381" TargetMode="External" Id="R97a4c4165d38488b" /><Relationship Type="http://schemas.openxmlformats.org/officeDocument/2006/relationships/hyperlink" Target="https://meteor.aihw.gov.au/content/270208" TargetMode="External" Id="Rfa83d282a1094747" /><Relationship Type="http://schemas.openxmlformats.org/officeDocument/2006/relationships/hyperlink" Target="https://meteor.aihw.gov.au/content/270122" TargetMode="External" Id="R774fcf1b22ef40b3" /></Relationships>
</file>

<file path=word/_rels/header1.xml.rels>&#65279;<?xml version="1.0" encoding="utf-8"?><Relationships xmlns="http://schemas.openxmlformats.org/package/2006/relationships"><Relationship Type="http://schemas.openxmlformats.org/officeDocument/2006/relationships/image" Target="/media/image.png" Id="R9abf33c2d12642fe" /></Relationships>
</file>