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627f563ef44cf" /></Relationships>
</file>

<file path=word/document.xml><?xml version="1.0" encoding="utf-8"?>
<w:document xmlns:r="http://schemas.openxmlformats.org/officeDocument/2006/relationships" xmlns:w="http://schemas.openxmlformats.org/wordprocessingml/2006/main">
  <w:body>
    <w:p>
      <w:pPr>
        <w:pStyle w:val="Title"/>
      </w:pPr>
      <w:r>
        <w:t>Principal income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677328e404136">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Property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Australian Government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can be linked to broad sources of cash income specified in the new (yet to be released) Australian Standard Classification of Sources of Cash Income.</w:t>
            </w:r>
          </w:p>
          <w:p>
            <w:pPr>
              <w:spacing w:after="160"/>
            </w:pPr>
            <w:r>
              <w:rPr>
                <w:rStyle w:val="row-content-rich-text"/>
              </w:rPr>
              <w:t xml:space="preserve">A person with more than one source of income should be categorised only to the value domain category, which best describes their primary source of income. If there is more than one source and they are exactly equal, list the source of employment to which the person most identifies as a primary occupation.</w:t>
            </w:r>
          </w:p>
          <w:p>
            <w:pPr>
              <w:spacing w:after="160"/>
            </w:pPr>
            <w:r>
              <w:rPr>
                <w:rStyle w:val="row-content-rich-text"/>
              </w:rPr>
              <w:t xml:space="preserve">This question is not asked of person's aged less than 15 years because they are generally dependants. Primary cash income: includes employee cash income such as wages and salaries and cash income from entrepreneurial activity by an employer or own account worker.</w:t>
            </w:r>
          </w:p>
          <w:p>
            <w:pPr>
              <w:spacing w:after="160"/>
            </w:pPr>
            <w:r>
              <w:rPr>
                <w:rStyle w:val="row-content-rich-text"/>
              </w:rPr>
              <w:t xml:space="preserve">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Cash transfers:</w:t>
            </w:r>
          </w:p>
          <w:p>
            <w:pPr/>
            <w:r>
              <w:rPr>
                <w:rStyle w:val="row-content-rich-text"/>
              </w:rPr>
              <w:t xml:space="preserve">can be broken down to 'Australian Government Cash Transfers' (Code 31). This category can be further classified to the 3-digit level which, is categorised by target groups. For example, payments to parents could be broken down into payments to single parents and payments to partnered parents. The latter can be broken down again between those receiving the basic amount and those on full or above basic amounts. Similarly, payments to persons of employable age not elsewhere included, can be divided between different payments like Newstart and Mature Age Allowance, or between job seekers and others. See Person—income source (cash), code 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260863686948b3">
              <w:r>
                <w:rPr>
                  <w:rStyle w:val="Hyperlink"/>
                </w:rPr>
                <w:t xml:space="preserve">Person—income source (principal), code N[N]</w:t>
              </w:r>
            </w:hyperlink>
          </w:p>
          <w:p>
            <w:pPr>
              <w:spacing w:before="0" w:after="0"/>
            </w:pPr>
            <w:r>
              <w:rPr>
                <w:rStyle w:val="row-content"/>
                <w:color w:val="244061"/>
              </w:rPr>
              <w:t xml:space="preserve">       </w:t>
            </w:r>
            <w:hyperlink w:history="true" r:id="R026715e203c449eb">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7c755397e428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7ad4c2055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55397e4284b4e" /><Relationship Type="http://schemas.openxmlformats.org/officeDocument/2006/relationships/header" Target="/word/header1.xml" Id="R7ba3cb7d652c4678" /><Relationship Type="http://schemas.openxmlformats.org/officeDocument/2006/relationships/settings" Target="/word/settings.xml" Id="R0e7235fb27854004" /><Relationship Type="http://schemas.openxmlformats.org/officeDocument/2006/relationships/styles" Target="/word/styles.xml" Id="Ra74bc6d0b07d48ca" /><Relationship Type="http://schemas.openxmlformats.org/officeDocument/2006/relationships/hyperlink" Target="https://meteor.aihw.gov.au/RegistrationAuthority/1" TargetMode="External" Id="Re24677328e404136" /><Relationship Type="http://schemas.openxmlformats.org/officeDocument/2006/relationships/hyperlink" Target="https://meteor.aihw.gov.au/content/270378" TargetMode="External" Id="R2a260863686948b3" /><Relationship Type="http://schemas.openxmlformats.org/officeDocument/2006/relationships/hyperlink" Target="https://meteor.aihw.gov.au/RegistrationAuthority/1" TargetMode="External" Id="R026715e203c449eb" /></Relationships>
</file>

<file path=word/_rels/header1.xml.rels>&#65279;<?xml version="1.0" encoding="utf-8"?><Relationships xmlns="http://schemas.openxmlformats.org/package/2006/relationships"><Relationship Type="http://schemas.openxmlformats.org/officeDocument/2006/relationships/image" Target="/media/image.png" Id="Rc987ad4c20554c99" /></Relationships>
</file>