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28390e88e48c1" /></Relationships>
</file>

<file path=word/document.xml><?xml version="1.0" encoding="utf-8"?>
<w:document xmlns:r="http://schemas.openxmlformats.org/officeDocument/2006/relationships" xmlns:w="http://schemas.openxmlformats.org/wordprocessingml/2006/main">
  <w:body>
    <w:p>
      <w:pPr>
        <w:pStyle w:val="Title"/>
      </w:pPr>
      <w:r>
        <w:t>Cardiovascular medication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medication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417ed43494c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cardiovascular medication currently being used by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Angiotensin converting enzyme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II (A2) receptor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Beta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Angiotensin converting enzyme (ACE) inhibitors</w:t>
            </w:r>
          </w:p>
          <w:p>
            <w:pPr>
              <w:spacing w:after="160"/>
            </w:pPr>
            <w:r>
              <w:rPr>
                <w:rStyle w:val="row-content-rich-text"/>
              </w:rPr>
              <w:t xml:space="preserve">Use this code for ACE inhibitors (captopril, enalapril, fosinopril, lisinopril, perindopril, quinapril, ramipril and trandolapril).</w:t>
            </w:r>
          </w:p>
          <w:p>
            <w:pPr>
              <w:spacing w:after="160"/>
            </w:pPr>
            <w:r>
              <w:rPr>
                <w:rStyle w:val="row-content-rich-text"/>
              </w:rPr>
              <w:t xml:space="preserve">CODE 2     Angiotensin II (A2) receptor blockers</w:t>
            </w:r>
          </w:p>
          <w:p>
            <w:pPr>
              <w:spacing w:after="160"/>
            </w:pPr>
            <w:r>
              <w:rPr>
                <w:rStyle w:val="row-content-rich-text"/>
              </w:rPr>
              <w:t xml:space="preserve">Use this code for Angiotensin II receptor blockers (candesartan, eprosartan, irbesartan and telmisartan).</w:t>
            </w:r>
          </w:p>
          <w:p>
            <w:pPr>
              <w:spacing w:after="160"/>
            </w:pPr>
            <w:r>
              <w:rPr>
                <w:rStyle w:val="row-content-rich-text"/>
              </w:rPr>
              <w:t xml:space="preserve">CODE 3     Beta blockers</w:t>
            </w:r>
          </w:p>
          <w:p>
            <w:pPr>
              <w:spacing w:after="160"/>
            </w:pPr>
            <w:r>
              <w:rPr>
                <w:rStyle w:val="row-content-rich-text"/>
              </w:rPr>
              <w:t xml:space="preserve">Use this code for Beta blockers (atenolol, carvedilol, labetalol, metoprolol, oxprenolol, pindolol, propranolol and sotalol).</w:t>
            </w:r>
          </w:p>
          <w:p>
            <w:pPr>
              <w:spacing w:after="160"/>
            </w:pPr>
            <w:r>
              <w:rPr>
                <w:rStyle w:val="row-content-rich-text"/>
              </w:rPr>
              <w:t xml:space="preserve">CODE 4     Calcium antagonists</w:t>
            </w:r>
          </w:p>
          <w:p>
            <w:pPr>
              <w:spacing w:after="160"/>
            </w:pPr>
            <w:r>
              <w:rPr>
                <w:rStyle w:val="row-content-rich-text"/>
              </w:rPr>
              <w:t xml:space="preserve">Use this code for Calcium antagonists ( amlodipine, diltiazem, felodipine, lercanidipine, nifedipine and verapamil).</w:t>
            </w:r>
          </w:p>
          <w:p>
            <w:pPr>
              <w:spacing w:after="160"/>
            </w:pPr>
            <w:r>
              <w:rPr>
                <w:rStyle w:val="row-content-rich-text"/>
              </w:rPr>
              <w:t xml:space="preserve">CODE 8     None of the above</w:t>
            </w:r>
          </w:p>
          <w:p>
            <w:pPr>
              <w:spacing w:after="160"/>
            </w:pPr>
            <w:r>
              <w:rPr>
                <w:rStyle w:val="row-content-rich-text"/>
              </w:rPr>
              <w:t xml:space="preserve">This code is used when none of the listed medications is being taken by the person.</w:t>
            </w:r>
          </w:p>
          <w:p>
            <w:pPr>
              <w:spacing w:after="160"/>
            </w:pPr>
            <w:r>
              <w:rPr>
                <w:rStyle w:val="row-content-rich-text"/>
              </w:rPr>
              <w:t xml:space="preserve">CODE 9     Not stated/inadequately described</w:t>
            </w:r>
          </w:p>
          <w:p>
            <w:pPr/>
            <w:r>
              <w:rPr>
                <w:rStyle w:val="row-content-rich-text"/>
              </w:rPr>
              <w:t xml:space="preserve">This code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 series of questions about any current medication for a cardiovascular condition as follows:</w:t>
            </w:r>
          </w:p>
          <w:p>
            <w:pPr>
              <w:spacing w:after="160"/>
            </w:pPr>
            <w:r>
              <w:rPr>
                <w:rStyle w:val="row-content-rich-text"/>
              </w:rPr>
              <w:t xml:space="preserve">Are you currently taking any medication for a cardiovascular condition?</w:t>
            </w:r>
          </w:p>
          <w:p>
            <w:pPr>
              <w:spacing w:after="160"/>
            </w:pPr>
            <w:r>
              <w:rPr>
                <w:rStyle w:val="row-content-rich-text"/>
              </w:rPr>
              <w:t xml:space="preserve">___Yes ___No</w:t>
            </w:r>
          </w:p>
          <w:p>
            <w:pPr>
              <w:spacing w:after="160"/>
            </w:pPr>
            <w:r>
              <w:rPr>
                <w:rStyle w:val="row-content-rich-text"/>
              </w:rPr>
              <w:t xml:space="preserve">If the person answers 'NO', then code 8 should be applied.</w:t>
            </w:r>
          </w:p>
          <w:p>
            <w:pPr>
              <w:spacing w:after="160"/>
            </w:pPr>
            <w:r>
              <w:rPr>
                <w:rStyle w:val="row-content-rich-text"/>
              </w:rPr>
              <w:t xml:space="preserve">If the person answers 'YES', then ask which one(s) (from the list of drugs in the Guide for use).</w:t>
            </w:r>
          </w:p>
          <w:p>
            <w:pPr>
              <w:spacing w:after="160"/>
            </w:pPr>
            <w:r>
              <w:rPr>
                <w:rStyle w:val="row-content-rich-text"/>
              </w:rPr>
              <w:t xml:space="preserve">Ace Inhibitors                           ___Yes ___No</w:t>
            </w:r>
          </w:p>
          <w:p>
            <w:pPr>
              <w:spacing w:after="160"/>
            </w:pPr>
            <w:r>
              <w:rPr>
                <w:rStyle w:val="row-content-rich-text"/>
              </w:rPr>
              <w:t xml:space="preserve">Angiotensin II receptor blockers   ___Yes ___No</w:t>
            </w:r>
          </w:p>
          <w:p>
            <w:pPr>
              <w:spacing w:after="160"/>
            </w:pPr>
            <w:r>
              <w:rPr>
                <w:rStyle w:val="row-content-rich-text"/>
              </w:rPr>
              <w:t xml:space="preserve">Beta blockers                            ___Yes ___No</w:t>
            </w:r>
          </w:p>
          <w:p>
            <w:pPr>
              <w:spacing w:after="160"/>
            </w:pPr>
            <w:r>
              <w:rPr>
                <w:rStyle w:val="row-content-rich-text"/>
              </w:rPr>
              <w:t xml:space="preserve">Calcium antagonists                   ___Yes ___No</w:t>
            </w:r>
          </w:p>
          <w:p>
            <w:pPr/>
            <w:r>
              <w:rPr>
                <w:rStyle w:val="row-content-rich-text"/>
              </w:rPr>
              <w:t xml:space="preserve">The appropriate code should be recorded for each type of medication currently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965dad24da4377">
              <w:r>
                <w:rPr>
                  <w:rStyle w:val="Hyperlink"/>
                </w:rPr>
                <w:t xml:space="preserve">Person—cardiovascular medication taken (current), code N</w:t>
              </w:r>
            </w:hyperlink>
          </w:p>
          <w:p>
            <w:pPr>
              <w:spacing w:before="0" w:after="0"/>
            </w:pPr>
            <w:r>
              <w:rPr>
                <w:rStyle w:val="row-content"/>
                <w:color w:val="244061"/>
              </w:rPr>
              <w:t xml:space="preserve">       </w:t>
            </w:r>
            <w:hyperlink w:history="true" r:id="Ra495b51c0d4e41f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726b63b4a09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d9087e4eb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6b63b4a094d6b" /><Relationship Type="http://schemas.openxmlformats.org/officeDocument/2006/relationships/header" Target="/word/header1.xml" Id="R1528d9347e2f4593" /><Relationship Type="http://schemas.openxmlformats.org/officeDocument/2006/relationships/settings" Target="/word/settings.xml" Id="R300c7b1cf15c4c6d" /><Relationship Type="http://schemas.openxmlformats.org/officeDocument/2006/relationships/styles" Target="/word/styles.xml" Id="R1ad3b283505a479e" /><Relationship Type="http://schemas.openxmlformats.org/officeDocument/2006/relationships/hyperlink" Target="https://meteor.aihw.gov.au/RegistrationAuthority/12" TargetMode="External" Id="Rf3a417ed43494c5f" /><Relationship Type="http://schemas.openxmlformats.org/officeDocument/2006/relationships/hyperlink" Target="https://meteor.aihw.gov.au/content/270237" TargetMode="External" Id="R10965dad24da4377" /><Relationship Type="http://schemas.openxmlformats.org/officeDocument/2006/relationships/hyperlink" Target="https://meteor.aihw.gov.au/RegistrationAuthority/12" TargetMode="External" Id="Ra495b51c0d4e41f6" /></Relationships>
</file>

<file path=word/_rels/header1.xml.rels>&#65279;<?xml version="1.0" encoding="utf-8"?><Relationships xmlns="http://schemas.openxmlformats.org/package/2006/relationships"><Relationship Type="http://schemas.openxmlformats.org/officeDocument/2006/relationships/image" Target="/media/image.png" Id="R5ecd9087e4eb4adb" /></Relationships>
</file>