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c5cc73ba6e4082" /></Relationships>
</file>

<file path=word/document.xml><?xml version="1.0" encoding="utf-8"?>
<w:document xmlns:r="http://schemas.openxmlformats.org/officeDocument/2006/relationships" xmlns:w="http://schemas.openxmlformats.org/wordprocessingml/2006/main">
  <w:body>
    <w:p>
      <w:pPr>
        <w:pStyle w:val="Title"/>
      </w:pPr>
      <w:r>
        <w:t>Diabetes mellitus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8f5a3276f4478">
              <w:r>
                <w:rPr>
                  <w:rStyle w:val="Hyperlink"/>
                  <w:color w:val="244061"/>
                </w:rPr>
                <w:t xml:space="preserve">Health</w:t>
              </w:r>
            </w:hyperlink>
            <w:r>
              <w:rPr>
                <w:rStyle w:val="row-content"/>
                <w:color w:val="244061"/>
              </w:rPr>
              <w:t xml:space="preserve">, Standard 01/03/2005</w:t>
            </w:r>
          </w:p>
          <w:p>
            <w:pPr>
              <w:spacing w:before="0" w:after="0"/>
            </w:pPr>
            <w:hyperlink w:history="true" r:id="Rf7fdf6700d93497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diagnosis of a type of diabetes mellitus diagnosis or other risk factor for developing diabetes mellitus.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(secondary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Previous 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Impaired fasting glucose (IFG)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Impaired glucose tolerance (IGT)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Not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or Previous GDM (i.e. permissible values 3 &amp; 5) and a current history of Type 2 diabetes then record 'Code 2' Type 2 diabetes.</w:t>
            </w:r>
          </w:p>
          <w:p>
            <w:pPr>
              <w:spacing w:after="160"/>
            </w:pPr>
            <w:r>
              <w:rPr>
                <w:rStyle w:val="row-content-rich-text"/>
              </w:rPr>
              <w:t xml:space="preserve">This same principle applies where a history of either Impaired fasting glycaemia (IFG) or Impaired glucose tolerance (IGT) and a current history and Type 2 diabetes, then record 'Code 2' Type 2 diabetes.</w:t>
            </w:r>
          </w:p>
          <w:p>
            <w:pPr>
              <w:spacing w:after="160"/>
            </w:pPr>
            <w:r>
              <w:rPr>
                <w:rStyle w:val="row-content-rich-text"/>
              </w:rPr>
              <w:t xml:space="preserve">CODE 01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02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03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the condition persists after pregnancy. Diagnosis is to be based on the Australian Diabetes in Pregnancy Society (ADIPS) Guidelines.</w:t>
            </w:r>
          </w:p>
          <w:p>
            <w:pPr>
              <w:spacing w:after="160"/>
            </w:pPr>
            <w:r>
              <w:rPr>
                <w:rStyle w:val="row-content-rich-text"/>
              </w:rPr>
              <w:t xml:space="preserve">CODE 04     Other (secondary diabetes)</w:t>
            </w:r>
          </w:p>
          <w:p>
            <w:pPr>
              <w:spacing w:after="160"/>
            </w:pPr>
            <w:r>
              <w:rPr>
                <w:rStyle w:val="row-content-rich-text"/>
              </w:rPr>
              <w:t xml:space="preserve">This categorisation includes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w:t>
            </w:r>
          </w:p>
          <w:p>
            <w:pPr>
              <w:spacing w:after="160"/>
            </w:pPr>
            <w:r>
              <w:rPr>
                <w:rStyle w:val="row-content-rich-text"/>
              </w:rPr>
              <w:t xml:space="preserve">CODE 05     Previous GDM</w:t>
            </w:r>
          </w:p>
          <w:p>
            <w:pPr>
              <w:spacing w:after="160"/>
            </w:pPr>
            <w:r>
              <w:rPr>
                <w:rStyle w:val="row-content-rich-text"/>
              </w:rPr>
              <w:t xml:space="preserve">Where the person has a history of GDM.</w:t>
            </w:r>
          </w:p>
          <w:p>
            <w:pPr>
              <w:spacing w:after="160"/>
            </w:pPr>
            <w:r>
              <w:rPr>
                <w:rStyle w:val="row-content-rich-text"/>
              </w:rPr>
              <w:t xml:space="preserve">CODE 06     Impaired fasting glycaemia (IFG)</w:t>
            </w:r>
          </w:p>
          <w:p>
            <w:pPr>
              <w:spacing w:after="160"/>
            </w:pPr>
            <w:r>
              <w:rPr>
                <w:rStyle w:val="row-content-rich-text"/>
              </w:rPr>
              <w:t xml:space="preserve">IFG or 'non-diabetic fasting hyperglycaemia' refers to fasting glucose concentrations, which are lower than those required to diagnose diabetes mellitus but higher than the normal reference range. An individual is considered to have IFG if they have a fasting plasma glucose of 6.1 or greater and less than 7.0 mmol/L if challenged with an oral glucose load, they have a fasting plasma glucose concentration of 6.1 mmol/L or greater, but less than 7.0 mmol/L, AND the 2 hour value in the Oral Glucose Tolerance Test (OGTT) is less than 7.8 mmol/L.</w:t>
            </w:r>
          </w:p>
          <w:p>
            <w:pPr>
              <w:spacing w:after="160"/>
            </w:pPr>
            <w:r>
              <w:rPr>
                <w:rStyle w:val="row-content-rich-text"/>
              </w:rPr>
              <w:t xml:space="preserve">CODE 07     Impaired glucose tolerance (IGT)</w:t>
            </w:r>
          </w:p>
          <w:p>
            <w:pPr>
              <w:spacing w:after="160"/>
            </w:pPr>
            <w:r>
              <w:rPr>
                <w:rStyle w:val="row-content-rich-text"/>
              </w:rPr>
              <w:t xml:space="preserve">IGT is categorised as a stage in the natural history of disordered carbohydrate metabolism; subjects with IGT have an increased risk of progressing to diabetes. IGT refers to a metabolic state intermediate between normal glucose homeostasis and diabetes. Those individuals with IGT manifest glucose intolerance only when challenged with an oral glucose load. IGT is diagnosed if the 2 hour value in the OGTT is greater than 7.8 mmol/L. and less than 11.1 mmol/L AND the fasting plasma glucose concentration is less than 7.0 mmol/L.</w:t>
            </w:r>
          </w:p>
          <w:p>
            <w:pPr>
              <w:spacing w:after="160"/>
            </w:pPr>
            <w:r>
              <w:rPr>
                <w:rStyle w:val="row-content-rich-text"/>
              </w:rPr>
              <w:t xml:space="preserve">CODE 08     Not diagnosed with diabetes</w:t>
            </w:r>
          </w:p>
          <w:p>
            <w:pPr>
              <w:spacing w:after="160"/>
            </w:pPr>
            <w:r>
              <w:rPr>
                <w:rStyle w:val="row-content-rich-text"/>
              </w:rPr>
              <w:t xml:space="preserve">The subject has no known diagnosis of Type 1, Type 2, GDM, Previous GDM, IFG, IGT or Other (secondary diabetes).</w:t>
            </w:r>
          </w:p>
          <w:p>
            <w:pPr>
              <w:spacing w:after="160"/>
            </w:pPr>
            <w:r>
              <w:rPr>
                <w:rStyle w:val="row-content-rich-text"/>
              </w:rPr>
              <w:t xml:space="preserve">CODE 09     Not assessed</w:t>
            </w:r>
          </w:p>
          <w:p>
            <w:pPr>
              <w:spacing w:after="160"/>
            </w:pPr>
            <w:r>
              <w:rPr>
                <w:rStyle w:val="row-content-rich-text"/>
              </w:rPr>
              <w:t xml:space="preserve">The subject has not had their diabetes status assessed.</w:t>
            </w:r>
          </w:p>
          <w:p>
            <w:pPr>
              <w:spacing w:after="160"/>
            </w:pPr>
            <w:r>
              <w:rPr>
                <w:rStyle w:val="row-content-rich-text"/>
              </w:rPr>
              <w:t xml:space="preserve">CODE 99     Not stated/inadequately described</w:t>
            </w:r>
          </w:p>
          <w:p>
            <w:pPr/>
            <w:r>
              <w:rPr>
                <w:rStyle w:val="row-content-rich-text"/>
              </w:rPr>
              <w:t xml:space="preserve">This code is for unknown or information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derived from and must be substantiated by clinical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based on Definition, Diagnosis and Classification of Diabetes Mellitus and its Complications Part 1: Diagnosis and Classifications of Diabetes Mellitus Provisional Report of a World Health Organization Consultation (Alberti &amp; Zimmet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52b9c988574038">
              <w:r>
                <w:rPr>
                  <w:rStyle w:val="Hyperlink"/>
                </w:rPr>
                <w:t xml:space="preserve">Type of diabetes mellitus during pregnancy code N</w:t>
              </w:r>
            </w:hyperlink>
          </w:p>
          <w:p>
            <w:pPr>
              <w:spacing w:before="0" w:after="0"/>
            </w:pPr>
            <w:r>
              <w:rPr>
                <w:rStyle w:val="row-content"/>
                <w:color w:val="244061"/>
              </w:rPr>
              <w:t xml:space="preserve">       </w:t>
            </w:r>
            <w:hyperlink w:history="true" r:id="R8011137e05024257">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e256c0b2a37e45b8">
              <w:r>
                <w:rPr>
                  <w:rStyle w:val="Hyperlink"/>
                </w:rPr>
                <w:t xml:space="preserve">Type of diabetes mellitus during pregnancy code N</w:t>
              </w:r>
            </w:hyperlink>
          </w:p>
          <w:p>
            <w:pPr>
              <w:spacing w:before="0" w:after="0"/>
            </w:pPr>
            <w:r>
              <w:rPr>
                <w:rStyle w:val="row-content"/>
                <w:color w:val="244061"/>
              </w:rPr>
              <w:t xml:space="preserve">       </w:t>
            </w:r>
            <w:hyperlink w:history="true" r:id="R502eeb6eb6c5405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541154ee1743af">
              <w:r>
                <w:rPr>
                  <w:rStyle w:val="Hyperlink"/>
                </w:rPr>
                <w:t xml:space="preserve">Person—diabetes mellitus status, code NN</w:t>
              </w:r>
            </w:hyperlink>
          </w:p>
          <w:p>
            <w:pPr>
              <w:spacing w:before="0" w:after="0"/>
            </w:pPr>
            <w:r>
              <w:rPr>
                <w:rStyle w:val="row-content"/>
                <w:color w:val="244061"/>
              </w:rPr>
              <w:t xml:space="preserve">       </w:t>
            </w:r>
            <w:hyperlink w:history="true" r:id="Rc7a5f478c86f4c9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3eda7a90838461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2bacfc87908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7650c593b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acfc87908417a" /><Relationship Type="http://schemas.openxmlformats.org/officeDocument/2006/relationships/header" Target="/word/header1.xml" Id="Rde9d9389c50b4a6b" /><Relationship Type="http://schemas.openxmlformats.org/officeDocument/2006/relationships/settings" Target="/word/settings.xml" Id="R9f118632849d4055" /><Relationship Type="http://schemas.openxmlformats.org/officeDocument/2006/relationships/styles" Target="/word/styles.xml" Id="Rd34b9f801b154d95" /><Relationship Type="http://schemas.openxmlformats.org/officeDocument/2006/relationships/hyperlink" Target="https://meteor.aihw.gov.au/RegistrationAuthority/12" TargetMode="External" Id="R7278f5a3276f4478" /><Relationship Type="http://schemas.openxmlformats.org/officeDocument/2006/relationships/hyperlink" Target="https://meteor.aihw.gov.au/RegistrationAuthority/6" TargetMode="External" Id="Rf7fdf6700d934973" /><Relationship Type="http://schemas.openxmlformats.org/officeDocument/2006/relationships/hyperlink" Target="https://meteor.aihw.gov.au/content/733491" TargetMode="External" Id="R6a52b9c988574038" /><Relationship Type="http://schemas.openxmlformats.org/officeDocument/2006/relationships/hyperlink" Target="https://meteor.aihw.gov.au/RegistrationAuthority/12" TargetMode="External" Id="R8011137e05024257" /><Relationship Type="http://schemas.openxmlformats.org/officeDocument/2006/relationships/hyperlink" Target="https://meteor.aihw.gov.au/content/516171" TargetMode="External" Id="Re256c0b2a37e45b8" /><Relationship Type="http://schemas.openxmlformats.org/officeDocument/2006/relationships/hyperlink" Target="https://meteor.aihw.gov.au/RegistrationAuthority/12" TargetMode="External" Id="R502eeb6eb6c5405b" /><Relationship Type="http://schemas.openxmlformats.org/officeDocument/2006/relationships/hyperlink" Target="https://meteor.aihw.gov.au/content/270194" TargetMode="External" Id="R26541154ee1743af" /><Relationship Type="http://schemas.openxmlformats.org/officeDocument/2006/relationships/hyperlink" Target="https://meteor.aihw.gov.au/RegistrationAuthority/12" TargetMode="External" Id="Rc7a5f478c86f4c98" /><Relationship Type="http://schemas.openxmlformats.org/officeDocument/2006/relationships/hyperlink" Target="https://meteor.aihw.gov.au/RegistrationAuthority/6" TargetMode="External" Id="R63eda7a908384613" /></Relationships>
</file>

<file path=word/_rels/header1.xml.rels>&#65279;<?xml version="1.0" encoding="utf-8"?><Relationships xmlns="http://schemas.openxmlformats.org/package/2006/relationships"><Relationship Type="http://schemas.openxmlformats.org/officeDocument/2006/relationships/image" Target="/media/image.png" Id="R2dd7650c593b4d55" /></Relationships>
</file>