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5b94b339c5478f" /></Relationships>
</file>

<file path=word/document.xml><?xml version="1.0" encoding="utf-8"?>
<w:document xmlns:r="http://schemas.openxmlformats.org/officeDocument/2006/relationships" xmlns:w="http://schemas.openxmlformats.org/wordprocessingml/2006/main">
  <w:body>
    <w:p>
      <w:pPr>
        <w:pStyle w:val="Title"/>
      </w:pPr>
      <w:r>
        <w:t>Indigenous community acceptance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acceptance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efcbc29e2415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acceptance in a community as Aboriginal and/or Torres Strait Islander.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Accepted as 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Accepted as Aboriginal but not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Accepted as Torres Strait Islander but not Aboriginal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Accepted as both Aboriginal and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accepted as 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South Sea Islanders are to be recorded in category 2 as per the explanation in the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of the Indigenous status is based upon a decision made by the High Court of Australia in </w:t>
            </w:r>
            <w:r>
              <w:rPr>
                <w:rStyle w:val="row-content-rich-text"/>
                <w:i/>
              </w:rPr>
              <w:t xml:space="preserve">Commonwealth v. Tasmania</w:t>
            </w:r>
            <w:r>
              <w:rPr>
                <w:rStyle w:val="row-content-rich-text"/>
              </w:rPr>
              <w:t xml:space="preserve"> (1983) 46 ALR 625.</w:t>
            </w:r>
          </w:p>
          <w:p>
            <w:pPr>
              <w:spacing w:after="160"/>
            </w:pPr>
            <w:r>
              <w:rPr>
                <w:rStyle w:val="row-content-rich-text"/>
              </w:rPr>
              <w:t xml:space="preserve">There are three components to this definition:</w:t>
            </w:r>
          </w:p>
          <w:p>
            <w:pPr>
              <w:pStyle w:val="ListParagraph"/>
              <w:numPr>
                <w:ilvl w:val="0"/>
                <w:numId w:val="2"/>
              </w:numPr>
            </w:pPr>
            <w:r>
              <w:rPr>
                <w:rStyle w:val="row-content-rich-text"/>
              </w:rPr>
              <w:t xml:space="preserve">Descent.</w:t>
            </w:r>
          </w:p>
          <w:p>
            <w:pPr>
              <w:pStyle w:val="ListParagraph"/>
              <w:numPr>
                <w:ilvl w:val="0"/>
                <w:numId w:val="2"/>
              </w:numPr>
            </w:pPr>
            <w:r>
              <w:rPr>
                <w:rStyle w:val="row-content-rich-text"/>
              </w:rPr>
              <w:t xml:space="preserve">Self-classification.</w:t>
            </w:r>
          </w:p>
          <w:p>
            <w:pPr>
              <w:pStyle w:val="ListParagraph"/>
              <w:numPr>
                <w:ilvl w:val="0"/>
                <w:numId w:val="2"/>
              </w:numPr>
            </w:pPr>
            <w:r>
              <w:rPr>
                <w:rStyle w:val="row-content-rich-text"/>
              </w:rPr>
              <w:t xml:space="preserve">Community acceptance.</w:t>
            </w:r>
          </w:p>
          <w:p>
            <w:pPr/>
            <w:r>
              <w:rPr>
                <w:rStyle w:val="row-content-rich-text"/>
              </w:rPr>
              <w:t xml:space="preserve">There has been some controversy over the issue of whether South Sea Islanders need to be included in the definition of Aboriginal or Torres Strait Islander. The Australian Bureau of Statistics clearly states that South Sea Islanders are not Indigenous and should therefore be coded accordingly. Subsequently, South Sea Islanders are to be coded under category 2. Not accepted as Indigenous.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224e05bfd94e16">
              <w:r>
                <w:rPr>
                  <w:rStyle w:val="Hyperlink"/>
                </w:rPr>
                <w:t xml:space="preserve">Person—Indigenous community acceptance, code N{.N}</w:t>
              </w:r>
            </w:hyperlink>
          </w:p>
          <w:p>
            <w:pPr>
              <w:spacing w:before="0" w:after="0"/>
            </w:pPr>
            <w:r>
              <w:rPr>
                <w:rStyle w:val="row-content"/>
                <w:color w:val="244061"/>
              </w:rPr>
              <w:t xml:space="preserve">       </w:t>
            </w:r>
            <w:hyperlink w:history="true" r:id="R75f49bfac4114300">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afca225080f3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2208c777c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a225080f34c92" /><Relationship Type="http://schemas.openxmlformats.org/officeDocument/2006/relationships/header" Target="/word/header1.xml" Id="Rdaaf6525dfdb425b" /><Relationship Type="http://schemas.openxmlformats.org/officeDocument/2006/relationships/settings" Target="/word/settings.xml" Id="Race525e1c7f04999" /><Relationship Type="http://schemas.openxmlformats.org/officeDocument/2006/relationships/styles" Target="/word/styles.xml" Id="Rab33f0542f9c4481" /><Relationship Type="http://schemas.openxmlformats.org/officeDocument/2006/relationships/hyperlink" Target="https://meteor.aihw.gov.au/RegistrationAuthority/11" TargetMode="External" Id="R339efcbc29e24150" /><Relationship Type="http://schemas.openxmlformats.org/officeDocument/2006/relationships/numbering" Target="/word/numbering.xml" Id="R8fee6638d3a14361" /><Relationship Type="http://schemas.openxmlformats.org/officeDocument/2006/relationships/hyperlink" Target="https://meteor.aihw.gov.au/content/270170" TargetMode="External" Id="R79224e05bfd94e16" /><Relationship Type="http://schemas.openxmlformats.org/officeDocument/2006/relationships/hyperlink" Target="https://meteor.aihw.gov.au/RegistrationAuthority/11" TargetMode="External" Id="R75f49bfac4114300" /></Relationships>
</file>

<file path=word/_rels/header1.xml.rels>&#65279;<?xml version="1.0" encoding="utf-8"?><Relationships xmlns="http://schemas.openxmlformats.org/package/2006/relationships"><Relationship Type="http://schemas.openxmlformats.org/officeDocument/2006/relationships/image" Target="/media/image.png" Id="R6982208c777c48ca" /></Relationships>
</file>