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bc850c8532e498d" /></Relationships>
</file>

<file path=word/document.xml><?xml version="1.0" encoding="utf-8"?>
<w:document xmlns:r="http://schemas.openxmlformats.org/officeDocument/2006/relationships" xmlns:w="http://schemas.openxmlformats.org/wordprocessingml/2006/main">
  <w:body>
    <w:p>
      <w:pPr>
        <w:pStyle w:val="Title"/>
      </w:pPr>
      <w:r>
        <w:t>Establishment—number of individual session occasions of service for non-admitted patients (alcohol and drug), total N[NNNNNN]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Establishment—number of individual session occasions of service for non-admitted patients (alcohol and drug), total 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Individual sessions—alcohol and drug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Type of non-admitted patient care - alcohol and drug individual sessions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a756e9d348b4d52">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occasions of examination, consultation, treatment or other services provided as individual sessions to non-admitted patients in the alcohol and drug functional unit of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1483cf53d7c4d99">
              <w:r>
                <w:rPr>
                  <w:rStyle w:val="Hyperlink"/>
                </w:rPr>
                <w:t xml:space="preserve">Establishment—number of individual session occasions of service for non-admitted patients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0e1b61e707144f9">
              <w:r>
                <w:rPr>
                  <w:rStyle w:val="Hyperlink"/>
                </w:rPr>
                <w:t xml:space="preserve">Total occasions of service N[NNNNNN]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Occasion of service</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occasions of service as individual sessions </w:t>
            </w:r>
            <w:r>
              <w:rPr>
                <w:rStyle w:val="row-content-rich-text"/>
              </w:rPr>
              <w:t xml:space="preserve">to non-admitted patients attending designated drug and alcohol units within hospitals.</w:t>
            </w:r>
          </w:p>
          <w:p>
            <w:pPr>
              <w:spacing w:after="160"/>
            </w:pPr>
            <w:r>
              <w:rPr>
                <w:rStyle w:val="row-content-rich-text"/>
              </w:rPr>
              <w:t xml:space="preserve">This metadata item identifies types of services provided to non-admitted patients in different institutional ways in different systems. It is not a summary casemix classification.</w:t>
            </w:r>
          </w:p>
          <w:p>
            <w:pPr>
              <w:spacing w:after="160"/>
            </w:pPr>
            <w:r>
              <w:rPr>
                <w:rStyle w:val="row-content-rich-text"/>
              </w:rPr>
              <w:t xml:space="preserve">A patient who first contacts the hospital and receives non-admitted care, for example through emergency departments, and is subsequently admitted, should have both components of care enumerated separately. Where possible, non-admitted occasions of service that are provided to patients who are subsequently admitted should be identified as a subset of the total occasions of service.</w:t>
            </w:r>
          </w:p>
          <w:p>
            <w:pPr/>
            <w:r>
              <w:rPr>
                <w:rStyle w:val="row-content-rich-text"/>
              </w:rPr>
              <w:t xml:space="preserve">The list of Type of non-admitted patient care categories was to be developed using typical functional units or cost centres within existing institutions. These would include designated wards or departments and specialised clinics. Although the current statistical/financial returns submitted to the various health authorities by their hospitals do not provide a minimum subset, an effort has been made to define the categories in respect to those areas commonly collected. Many functional units provide services to both admitted patients and non-admitted patients, for example pathology. Only occasions of service for non-admitted patients should be included in this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definition does not distinguish case complexity for non-admitted patients.</w:t>
            </w:r>
          </w:p>
          <w:p>
            <w:pPr>
              <w:spacing w:after="160"/>
            </w:pPr>
            <w:r>
              <w:rPr>
                <w:rStyle w:val="row-content-rich-text"/>
              </w:rPr>
              <w:t xml:space="preserve">For example, an occasion of service could vary in complexity from a simple urine glucose test to a complete biochemical analysis of all body fluids. Ideally, average case complexity values would be available for the various categories of non-admitted patients in the same way that average diagnosis related group weighted separations are becoming available for acute admitted patients. However, such measures would require the development of patient record databases for non-admitted patients. This does not imply an inadequacy in definition.</w:t>
            </w:r>
          </w:p>
          <w:p>
            <w:pPr>
              <w:spacing w:after="160"/>
            </w:pPr>
            <w:r>
              <w:rPr>
                <w:rStyle w:val="row-content-rich-text"/>
              </w:rPr>
              <w:t xml:space="preserve">For admitted patients the concept of a </w:t>
            </w:r>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88f202ef1d214d78">
              <w:r>
                <w:rPr>
                  <w:rStyle w:val="Hyperlink"/>
                  <w:b/>
                </w:rPr>
                <w:t xml:space="preserve">separation</w:t>
              </w:r>
            </w:hyperlink>
            <w:r>
              <w:rPr>
                <w:rStyle w:val="row-content-rich-text"/>
              </w:rPr>
              <w:t xml:space="preserve"> is widely accepted. Separations can vary between admission for overnight observation to open heart surgery. The issue of case complexity for both admitted and non-admitted patients is a separate issue and beyond the scope of the proposed summary establishment-level activity data.</w:t>
            </w:r>
          </w:p>
          <w:p>
            <w:pPr/>
            <w:r>
              <w:rPr>
                <w:rStyle w:val="row-content-rich-text"/>
              </w:rPr>
              <w:t xml:space="preserve">Each diagnostic test or simultaneous set of related diagnostic tests for the one patient referred to a hospital pathology department consists of one occasion of service.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585a54f815494a36">
              <w:r>
                <w:drawing>
                  <wp:inline xmlns:wp="http://schemas.openxmlformats.org/drawingml/2006/wordprocessingDrawing" distT="0" distB="0" distL="0" distR="0">
                    <wp:extent cx="152400" cy="152400"/>
                    <wp:effectExtent l="19050" t="0" r="0" b="0"/>
                    <wp:docPr id="2" name="Picture 2" descr="">
                      <a:hlinkClick xmlns:a="http://schemas.openxmlformats.org/drawingml/2006/main" r:id="R585a54f815494a36"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f3da13283eaf4653"/>
                            <a:srcRect/>
                            <a:stretch>
                              <a:fillRect/>
                            </a:stretch>
                          </pic:blipFill>
                          <pic:spPr bwMode="auto">
                            <a:xfrm>
                              <a:off x="0" y="0"/>
                              <a:ext cx="152400" cy="152400"/>
                            </a:xfrm>
                            <a:prstGeom prst="rect">
                              <a:avLst/>
                            </a:prstGeom>
                          </pic:spPr>
                        </pic:pic>
                      </a:graphicData>
                    </a:graphic>
                  </wp:inline>
                </w:drawing>
              </w:r>
              <w:r>
                <w:rPr>
                  <w:rStyle w:val="Hyperlink"/>
                </w:rPr>
                <w:t xml:space="preserve"> Occasions of service, version 1, Derived DE, NHDD, NHIMG, Superseded 01/03/2005.pdf</w:t>
              </w:r>
            </w:hyperlink>
          </w:p>
          <w:p>
            <w:r>
              <w:rPr>
                <w:rStyle w:val="row-content"/>
              </w:rPr>
              <w:t xml:space="preserve"> (14.7 KB)</w:t>
            </w:r>
          </w:p>
          <w:p>
            <w:pPr>
              <w:spacing w:before="0" w:after="0"/>
            </w:pPr>
            <w:r>
              <w:rPr>
                <w:rStyle w:val="row-content"/>
              </w:rPr>
              <w:t xml:space="preserve">       </w:t>
            </w:r>
            <w:r>
              <w:rPr>
                <w:rStyle w:val="row-content"/>
                <w:i/>
                <w:color w:val="244061"/>
              </w:rPr>
              <w:t xml:space="preserve">No registration status</w:t>
            </w:r>
          </w:p>
          <w:p>
            <w:r>
              <w:br/>
            </w:r>
            <w:r>
              <w:rPr>
                <w:rStyle w:val="row-content"/>
              </w:rPr>
              <w:t xml:space="preserve">Is re-engineered from </w:t>
            </w:r>
            <w:hyperlink w:history="true" r:id="Rdebab73ec8ea40d1">
              <w:r>
                <w:drawing>
                  <wp:inline xmlns:wp="http://schemas.openxmlformats.org/drawingml/2006/wordprocessingDrawing" distT="0" distB="0" distL="0" distR="0">
                    <wp:extent cx="152400" cy="152400"/>
                    <wp:effectExtent l="19050" t="0" r="0" b="0"/>
                    <wp:docPr id="3" name="Picture 3" descr="">
                      <a:hlinkClick xmlns:a="http://schemas.openxmlformats.org/drawingml/2006/main" r:id="Rdebab73ec8ea40d1"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PDF"/>
                            <pic:cNvPicPr>
                              <a:picLocks noChangeAspect="1" noChangeArrowheads="1"/>
                            </pic:cNvPicPr>
                          </pic:nvPicPr>
                          <pic:blipFill>
                            <a:blip r:embed="R2c0df1b8a798490a"/>
                            <a:srcRect/>
                            <a:stretch>
                              <a:fillRect/>
                            </a:stretch>
                          </pic:blipFill>
                          <pic:spPr bwMode="auto">
                            <a:xfrm>
                              <a:off x="0" y="0"/>
                              <a:ext cx="152400" cy="152400"/>
                            </a:xfrm>
                            <a:prstGeom prst="rect">
                              <a:avLst/>
                            </a:prstGeom>
                          </pic:spPr>
                        </pic:pic>
                      </a:graphicData>
                    </a:graphic>
                  </wp:inline>
                </w:drawing>
              </w:r>
              <w:r>
                <w:rPr>
                  <w:rStyle w:val="Hyperlink"/>
                </w:rPr>
                <w:t xml:space="preserve"> Type of non-admitted patient care, version 1, Derived DE, NHDD, NHIMG, Superseded 01/03/2005.pdf</w:t>
              </w:r>
            </w:hyperlink>
          </w:p>
          <w:p>
            <w:r>
              <w:rPr>
                <w:rStyle w:val="row-content"/>
              </w:rPr>
              <w:t xml:space="preserve"> (26.0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5ea018ad7b348ed">
              <w:r>
                <w:rPr>
                  <w:rStyle w:val="Hyperlink"/>
                </w:rPr>
                <w:t xml:space="preserve">Public hospital establishments NMDS</w:t>
              </w:r>
            </w:hyperlink>
          </w:p>
          <w:p>
            <w:pPr>
              <w:spacing w:before="0" w:after="0"/>
            </w:pPr>
            <w:r>
              <w:rPr>
                <w:rStyle w:val="row-content"/>
                <w:color w:val="244061"/>
              </w:rPr>
              <w:t xml:space="preserve">       </w:t>
            </w:r>
            <w:hyperlink w:history="true" r:id="Rd2713fd7809049ef">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7eff6decde234e4c">
              <w:r>
                <w:rPr>
                  <w:rStyle w:val="Hyperlink"/>
                </w:rPr>
                <w:t xml:space="preserve">Public hospital establishments NMDS</w:t>
              </w:r>
            </w:hyperlink>
          </w:p>
          <w:p>
            <w:pPr>
              <w:spacing w:before="0" w:after="0"/>
            </w:pPr>
            <w:r>
              <w:rPr>
                <w:rStyle w:val="row-content"/>
                <w:color w:val="244061"/>
              </w:rPr>
              <w:t xml:space="preserve">       </w:t>
            </w:r>
            <w:hyperlink w:history="true" r:id="R86d4546002cb4841">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59f51d2026b44848">
              <w:r>
                <w:rPr>
                  <w:rStyle w:val="Hyperlink"/>
                </w:rPr>
                <w:t xml:space="preserve">Public hospital establishments NMDS 2007-08</w:t>
              </w:r>
            </w:hyperlink>
          </w:p>
          <w:p>
            <w:pPr>
              <w:spacing w:before="0" w:after="0"/>
            </w:pPr>
            <w:r>
              <w:rPr>
                <w:rStyle w:val="row-content"/>
                <w:color w:val="244061"/>
              </w:rPr>
              <w:t xml:space="preserve">       </w:t>
            </w:r>
            <w:hyperlink w:history="true" r:id="Ra42ef1cd134947d6">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2e16e3f6bd054ea2">
              <w:r>
                <w:rPr>
                  <w:rStyle w:val="Hyperlink"/>
                </w:rPr>
                <w:t xml:space="preserve">Public hospital establishments NMDS 2008-09</w:t>
              </w:r>
            </w:hyperlink>
          </w:p>
          <w:p>
            <w:pPr>
              <w:spacing w:before="0" w:after="0"/>
            </w:pPr>
            <w:r>
              <w:rPr>
                <w:rStyle w:val="row-content"/>
                <w:color w:val="244061"/>
              </w:rPr>
              <w:t xml:space="preserve">       </w:t>
            </w:r>
            <w:hyperlink w:history="true" r:id="Rd01eed2c44b04902">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74ffe0c9210f46c4">
              <w:r>
                <w:rPr>
                  <w:rStyle w:val="Hyperlink"/>
                </w:rPr>
                <w:t xml:space="preserve">Public hospital establishments NMDS 2009-10</w:t>
              </w:r>
            </w:hyperlink>
          </w:p>
          <w:p>
            <w:pPr>
              <w:spacing w:before="0" w:after="0"/>
            </w:pPr>
            <w:r>
              <w:rPr>
                <w:rStyle w:val="row-content"/>
                <w:color w:val="244061"/>
              </w:rPr>
              <w:t xml:space="preserve">       </w:t>
            </w:r>
            <w:hyperlink w:history="true" r:id="Rfdeec701813542d0">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fd0fd7016a684ae7">
              <w:r>
                <w:rPr>
                  <w:rStyle w:val="Hyperlink"/>
                </w:rPr>
                <w:t xml:space="preserve">Public hospital establishments NMDS 2010-11</w:t>
              </w:r>
            </w:hyperlink>
          </w:p>
          <w:p>
            <w:pPr>
              <w:spacing w:before="0" w:after="0"/>
            </w:pPr>
            <w:r>
              <w:rPr>
                <w:rStyle w:val="row-content"/>
                <w:color w:val="244061"/>
              </w:rPr>
              <w:t xml:space="preserve">       </w:t>
            </w:r>
            <w:hyperlink w:history="true" r:id="R93a1e88cbfb640f7">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1c8ad56d51c64742">
              <w:r>
                <w:rPr>
                  <w:rStyle w:val="Hyperlink"/>
                </w:rPr>
                <w:t xml:space="preserve">Public hospital establishments NMDS 2011-12</w:t>
              </w:r>
            </w:hyperlink>
          </w:p>
          <w:p>
            <w:pPr>
              <w:spacing w:before="0" w:after="0"/>
            </w:pPr>
            <w:r>
              <w:rPr>
                <w:rStyle w:val="row-content"/>
                <w:color w:val="244061"/>
              </w:rPr>
              <w:t xml:space="preserve">       </w:t>
            </w:r>
            <w:hyperlink w:history="true" r:id="R3ebc936e79c84e34">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768a74029e6f4d3a">
              <w:r>
                <w:rPr>
                  <w:rStyle w:val="Hyperlink"/>
                </w:rPr>
                <w:t xml:space="preserve">Public hospital establishments NMDS 2012-13</w:t>
              </w:r>
            </w:hyperlink>
          </w:p>
          <w:p>
            <w:pPr>
              <w:spacing w:before="0" w:after="0"/>
            </w:pPr>
            <w:r>
              <w:rPr>
                <w:rStyle w:val="row-content"/>
                <w:color w:val="244061"/>
              </w:rPr>
              <w:t xml:space="preserve">       </w:t>
            </w:r>
            <w:hyperlink w:history="true" r:id="R1b0008f0004c4600">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b1fe37ea6e5b46b1">
              <w:r>
                <w:rPr>
                  <w:rStyle w:val="Hyperlink"/>
                </w:rPr>
                <w:t xml:space="preserve">Public hospital establishments NMDS 2013-14</w:t>
              </w:r>
            </w:hyperlink>
          </w:p>
          <w:p>
            <w:pPr>
              <w:spacing w:before="0" w:after="0"/>
            </w:pPr>
            <w:r>
              <w:rPr>
                <w:rStyle w:val="row-content"/>
                <w:color w:val="244061"/>
              </w:rPr>
              <w:t xml:space="preserve">       </w:t>
            </w:r>
            <w:hyperlink w:history="true" r:id="R1019db474b2f4b1e">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82afa3962b7a468d">
              <w:r>
                <w:rPr>
                  <w:rStyle w:val="Hyperlink"/>
                </w:rPr>
                <w:t xml:space="preserve">National Healthcare Agreement: P46-Rates of services: Outpatient occasions of service, 2010</w:t>
              </w:r>
            </w:hyperlink>
          </w:p>
          <w:p>
            <w:pPr>
              <w:spacing w:before="0" w:after="0"/>
            </w:pPr>
            <w:r>
              <w:rPr>
                <w:rStyle w:val="row-content"/>
                <w:color w:val="244061"/>
              </w:rPr>
              <w:t xml:space="preserve">       </w:t>
            </w:r>
            <w:hyperlink w:history="true" r:id="Rf6e52e3a6add4e7d">
              <w:r>
                <w:rPr>
                  <w:rStyle w:val="Hyperlink"/>
                  <w:color w:val="244061"/>
                </w:rPr>
                <w:t xml:space="preserve">Health</w:t>
              </w:r>
            </w:hyperlink>
            <w:r>
              <w:rPr>
                <w:rStyle w:val="row-content"/>
                <w:color w:val="244061"/>
              </w:rPr>
              <w:t xml:space="preserve">, Superseded 08/06/2011</w:t>
            </w:r>
          </w:p>
          <w:p>
            <w:r>
              <w:br/>
            </w:r>
            <w:hyperlink w:history="true" r:id="R3e0c8946572b4baa">
              <w:r>
                <w:rPr>
                  <w:rStyle w:val="Hyperlink"/>
                </w:rPr>
                <w:t xml:space="preserve">National Healthcare Agreement: PI 46-Rates of services: Outpatient occasions of service, 2011</w:t>
              </w:r>
            </w:hyperlink>
          </w:p>
          <w:p>
            <w:pPr>
              <w:spacing w:before="0" w:after="0"/>
            </w:pPr>
            <w:r>
              <w:rPr>
                <w:rStyle w:val="row-content"/>
                <w:color w:val="244061"/>
              </w:rPr>
              <w:t xml:space="preserve">       </w:t>
            </w:r>
            <w:hyperlink w:history="true" r:id="Rbe4f374bc1244673">
              <w:r>
                <w:rPr>
                  <w:rStyle w:val="Hyperlink"/>
                  <w:color w:val="244061"/>
                </w:rPr>
                <w:t xml:space="preserve">Health</w:t>
              </w:r>
            </w:hyperlink>
            <w:r>
              <w:rPr>
                <w:rStyle w:val="row-content"/>
                <w:color w:val="244061"/>
              </w:rPr>
              <w:t xml:space="preserve">, Superseded 31/10/2011</w:t>
            </w:r>
          </w:p>
          <w:p>
            <w:r>
              <w:br/>
            </w:r>
            <w:hyperlink w:history="true" r:id="Rb661b6ad890741b9">
              <w:r>
                <w:rPr>
                  <w:rStyle w:val="Hyperlink"/>
                </w:rPr>
                <w:t xml:space="preserve">National Healthcare Agreement: PI 46-Rates of services: Outpatient occasions of service, 2012</w:t>
              </w:r>
            </w:hyperlink>
          </w:p>
          <w:p>
            <w:pPr>
              <w:spacing w:before="0" w:after="0"/>
            </w:pPr>
            <w:r>
              <w:rPr>
                <w:rStyle w:val="row-content"/>
                <w:color w:val="244061"/>
              </w:rPr>
              <w:t xml:space="preserve">       </w:t>
            </w:r>
            <w:hyperlink w:history="true" r:id="R3403957927f24c5b">
              <w:r>
                <w:rPr>
                  <w:rStyle w:val="Hyperlink"/>
                  <w:color w:val="244061"/>
                </w:rPr>
                <w:t xml:space="preserve">Health</w:t>
              </w:r>
            </w:hyperlink>
            <w:r>
              <w:rPr>
                <w:rStyle w:val="row-content"/>
                <w:color w:val="244061"/>
              </w:rPr>
              <w:t xml:space="preserve">, Retired 25/06/2013</w:t>
            </w:r>
          </w:p>
          <w:p>
            <w:r>
              <w:br/>
            </w:r>
            <w:r>
              <w:rPr>
                <w:rStyle w:val="row-content"/>
                <w:b/>
              </w:rPr>
              <w:t xml:space="preserve">Used as Disaggregation</w:t>
            </w:r>
            <w:r>
              <w:br/>
            </w:r>
            <w:hyperlink w:history="true" r:id="R419beab30c8d4989">
              <w:r>
                <w:rPr>
                  <w:rStyle w:val="Hyperlink"/>
                </w:rPr>
                <w:t xml:space="preserve">National Healthcare Agreement: P46-Rates of services: Outpatient occasions of service, 2010</w:t>
              </w:r>
            </w:hyperlink>
          </w:p>
          <w:p>
            <w:pPr>
              <w:spacing w:before="0" w:after="0"/>
            </w:pPr>
            <w:r>
              <w:rPr>
                <w:rStyle w:val="row-content"/>
                <w:color w:val="244061"/>
              </w:rPr>
              <w:t xml:space="preserve">       </w:t>
            </w:r>
            <w:hyperlink w:history="true" r:id="Rc5119fdb106a432c">
              <w:r>
                <w:rPr>
                  <w:rStyle w:val="Hyperlink"/>
                  <w:color w:val="244061"/>
                </w:rPr>
                <w:t xml:space="preserve">Health</w:t>
              </w:r>
            </w:hyperlink>
            <w:r>
              <w:rPr>
                <w:rStyle w:val="row-content"/>
                <w:color w:val="244061"/>
              </w:rPr>
              <w:t xml:space="preserve">, Superseded 08/06/2011</w:t>
            </w:r>
          </w:p>
          <w:p>
            <w:r>
              <w:br/>
            </w:r>
            <w:hyperlink w:history="true" r:id="R56d625c2b82148fb">
              <w:r>
                <w:rPr>
                  <w:rStyle w:val="Hyperlink"/>
                </w:rPr>
                <w:t xml:space="preserve">National Healthcare Agreement: PI 46-Rates of services: Outpatient occasions of service, 2011</w:t>
              </w:r>
            </w:hyperlink>
          </w:p>
          <w:p>
            <w:pPr>
              <w:spacing w:before="0" w:after="0"/>
            </w:pPr>
            <w:r>
              <w:rPr>
                <w:rStyle w:val="row-content"/>
                <w:color w:val="244061"/>
              </w:rPr>
              <w:t xml:space="preserve">       </w:t>
            </w:r>
            <w:hyperlink w:history="true" r:id="Rab204ba5d86d4716">
              <w:r>
                <w:rPr>
                  <w:rStyle w:val="Hyperlink"/>
                  <w:color w:val="244061"/>
                </w:rPr>
                <w:t xml:space="preserve">Health</w:t>
              </w:r>
            </w:hyperlink>
            <w:r>
              <w:rPr>
                <w:rStyle w:val="row-content"/>
                <w:color w:val="244061"/>
              </w:rPr>
              <w:t xml:space="preserve">, Superseded 31/10/2011</w:t>
            </w:r>
          </w:p>
          <w:p>
            <w:r>
              <w:br/>
            </w:r>
            <w:hyperlink w:history="true" r:id="R8ffc4a0ea2b243bc">
              <w:r>
                <w:rPr>
                  <w:rStyle w:val="Hyperlink"/>
                </w:rPr>
                <w:t xml:space="preserve">National Healthcare Agreement: PI 46-Rates of services: Outpatient occasions of service, 2012</w:t>
              </w:r>
            </w:hyperlink>
          </w:p>
          <w:p>
            <w:pPr>
              <w:spacing w:before="0" w:after="0"/>
            </w:pPr>
            <w:r>
              <w:rPr>
                <w:rStyle w:val="row-content"/>
                <w:color w:val="244061"/>
              </w:rPr>
              <w:t xml:space="preserve">       </w:t>
            </w:r>
            <w:hyperlink w:history="true" r:id="R104a61552e464c69">
              <w:r>
                <w:rPr>
                  <w:rStyle w:val="Hyperlink"/>
                  <w:color w:val="244061"/>
                </w:rPr>
                <w:t xml:space="preserve">Health</w:t>
              </w:r>
            </w:hyperlink>
            <w:r>
              <w:rPr>
                <w:rStyle w:val="row-content"/>
                <w:color w:val="244061"/>
              </w:rPr>
              <w:t xml:space="preserve">, Retired 25/06/2013</w:t>
            </w:r>
          </w:p>
          <w:p>
            <w:r>
              <w:br/>
            </w:r>
          </w:p>
        </w:tc>
      </w:tr>
    </w:tbl>
    <w:p/>
    <w:tbl>
      <w:tblPr>
        <w:tblStyle w:val="TableGrid"/>
        <w:tblW w:w="0" w:type="auto"/>
      </w:tblPr>
    </w:tbl>
    <w:p>
      <w:r>
        <w:br/>
      </w:r>
    </w:p>
    <w:sectPr>
      <w:footerReference xmlns:r="http://schemas.openxmlformats.org/officeDocument/2006/relationships" w:type="default" r:id="Rfbbd09dcda1648d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270508</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1c27a0523014e5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bbd09dcda1648d4" /><Relationship Type="http://schemas.openxmlformats.org/officeDocument/2006/relationships/header" Target="/word/header1.xml" Id="R433d77da9a3242ac" /><Relationship Type="http://schemas.openxmlformats.org/officeDocument/2006/relationships/settings" Target="/word/settings.xml" Id="Raec41e84d24f4bdc" /><Relationship Type="http://schemas.openxmlformats.org/officeDocument/2006/relationships/styles" Target="/word/styles.xml" Id="Rfe3150090eb74dca" /><Relationship Type="http://schemas.openxmlformats.org/officeDocument/2006/relationships/hyperlink" Target="https://meteor.aihw.gov.au/RegistrationAuthority/12" TargetMode="External" Id="R3a756e9d348b4d52" /><Relationship Type="http://schemas.openxmlformats.org/officeDocument/2006/relationships/hyperlink" Target="https://meteor.aihw.gov.au/content/313847" TargetMode="External" Id="R21483cf53d7c4d99" /><Relationship Type="http://schemas.openxmlformats.org/officeDocument/2006/relationships/hyperlink" Target="https://meteor.aihw.gov.au/content/270715" TargetMode="External" Id="Rd0e1b61e707144f9" /><Relationship Type="http://schemas.openxmlformats.org/officeDocument/2006/relationships/hyperlink" Target="https://meteor.aihw.gov.au/content/327268" TargetMode="External" Id="R88f202ef1d214d78" /><Relationship Type="http://schemas.openxmlformats.org/officeDocument/2006/relationships/hyperlink" Target="https://meteor.aihw.gov.au/content/273190" TargetMode="External" Id="R585a54f815494a36" /><Relationship Type="http://schemas.openxmlformats.org/officeDocument/2006/relationships/image" Target="/media/image.gif" Id="Rf3da13283eaf4653" /><Relationship Type="http://schemas.openxmlformats.org/officeDocument/2006/relationships/hyperlink" Target="https://meteor.aihw.gov.au/content/273195" TargetMode="External" Id="Rdebab73ec8ea40d1" /><Relationship Type="http://schemas.openxmlformats.org/officeDocument/2006/relationships/image" Target="/media/image2.gif" Id="R2c0df1b8a798490a" /><Relationship Type="http://schemas.openxmlformats.org/officeDocument/2006/relationships/hyperlink" Target="https://meteor.aihw.gov.au/content/273047" TargetMode="External" Id="R45ea018ad7b348ed" /><Relationship Type="http://schemas.openxmlformats.org/officeDocument/2006/relationships/hyperlink" Target="https://meteor.aihw.gov.au/RegistrationAuthority/12" TargetMode="External" Id="Rd2713fd7809049ef" /><Relationship Type="http://schemas.openxmlformats.org/officeDocument/2006/relationships/hyperlink" Target="https://meteor.aihw.gov.au/content/334285" TargetMode="External" Id="R7eff6decde234e4c" /><Relationship Type="http://schemas.openxmlformats.org/officeDocument/2006/relationships/hyperlink" Target="https://meteor.aihw.gov.au/RegistrationAuthority/12" TargetMode="External" Id="R86d4546002cb4841" /><Relationship Type="http://schemas.openxmlformats.org/officeDocument/2006/relationships/hyperlink" Target="https://meteor.aihw.gov.au/content/345139" TargetMode="External" Id="R59f51d2026b44848" /><Relationship Type="http://schemas.openxmlformats.org/officeDocument/2006/relationships/hyperlink" Target="https://meteor.aihw.gov.au/RegistrationAuthority/12" TargetMode="External" Id="Ra42ef1cd134947d6" /><Relationship Type="http://schemas.openxmlformats.org/officeDocument/2006/relationships/hyperlink" Target="https://meteor.aihw.gov.au/content/362302" TargetMode="External" Id="R2e16e3f6bd054ea2" /><Relationship Type="http://schemas.openxmlformats.org/officeDocument/2006/relationships/hyperlink" Target="https://meteor.aihw.gov.au/RegistrationAuthority/12" TargetMode="External" Id="Rd01eed2c44b04902" /><Relationship Type="http://schemas.openxmlformats.org/officeDocument/2006/relationships/hyperlink" Target="https://meteor.aihw.gov.au/content/374924" TargetMode="External" Id="R74ffe0c9210f46c4" /><Relationship Type="http://schemas.openxmlformats.org/officeDocument/2006/relationships/hyperlink" Target="https://meteor.aihw.gov.au/RegistrationAuthority/12" TargetMode="External" Id="Rfdeec701813542d0" /><Relationship Type="http://schemas.openxmlformats.org/officeDocument/2006/relationships/hyperlink" Target="https://meteor.aihw.gov.au/content/386794" TargetMode="External" Id="Rfd0fd7016a684ae7" /><Relationship Type="http://schemas.openxmlformats.org/officeDocument/2006/relationships/hyperlink" Target="https://meteor.aihw.gov.au/RegistrationAuthority/12" TargetMode="External" Id="R93a1e88cbfb640f7" /><Relationship Type="http://schemas.openxmlformats.org/officeDocument/2006/relationships/hyperlink" Target="https://meteor.aihw.gov.au/content/426900" TargetMode="External" Id="R1c8ad56d51c64742" /><Relationship Type="http://schemas.openxmlformats.org/officeDocument/2006/relationships/hyperlink" Target="https://meteor.aihw.gov.au/RegistrationAuthority/12" TargetMode="External" Id="R3ebc936e79c84e34" /><Relationship Type="http://schemas.openxmlformats.org/officeDocument/2006/relationships/hyperlink" Target="https://meteor.aihw.gov.au/content/470656" TargetMode="External" Id="R768a74029e6f4d3a" /><Relationship Type="http://schemas.openxmlformats.org/officeDocument/2006/relationships/hyperlink" Target="https://meteor.aihw.gov.au/RegistrationAuthority/12" TargetMode="External" Id="R1b0008f0004c4600" /><Relationship Type="http://schemas.openxmlformats.org/officeDocument/2006/relationships/hyperlink" Target="https://meteor.aihw.gov.au/content/504279" TargetMode="External" Id="Rb1fe37ea6e5b46b1" /><Relationship Type="http://schemas.openxmlformats.org/officeDocument/2006/relationships/hyperlink" Target="https://meteor.aihw.gov.au/RegistrationAuthority/12" TargetMode="External" Id="R1019db474b2f4b1e" /><Relationship Type="http://schemas.openxmlformats.org/officeDocument/2006/relationships/hyperlink" Target="https://meteor.aihw.gov.au/content/395091" TargetMode="External" Id="R82afa3962b7a468d" /><Relationship Type="http://schemas.openxmlformats.org/officeDocument/2006/relationships/hyperlink" Target="https://meteor.aihw.gov.au/RegistrationAuthority/12" TargetMode="External" Id="Rf6e52e3a6add4e7d" /><Relationship Type="http://schemas.openxmlformats.org/officeDocument/2006/relationships/hyperlink" Target="https://meteor.aihw.gov.au/content/421600" TargetMode="External" Id="R3e0c8946572b4baa" /><Relationship Type="http://schemas.openxmlformats.org/officeDocument/2006/relationships/hyperlink" Target="https://meteor.aihw.gov.au/RegistrationAuthority/12" TargetMode="External" Id="Rbe4f374bc1244673" /><Relationship Type="http://schemas.openxmlformats.org/officeDocument/2006/relationships/hyperlink" Target="https://meteor.aihw.gov.au/content/435875" TargetMode="External" Id="Rb661b6ad890741b9" /><Relationship Type="http://schemas.openxmlformats.org/officeDocument/2006/relationships/hyperlink" Target="https://meteor.aihw.gov.au/RegistrationAuthority/12" TargetMode="External" Id="R3403957927f24c5b" /><Relationship Type="http://schemas.openxmlformats.org/officeDocument/2006/relationships/hyperlink" Target="https://meteor.aihw.gov.au/content/395091" TargetMode="External" Id="R419beab30c8d4989" /><Relationship Type="http://schemas.openxmlformats.org/officeDocument/2006/relationships/hyperlink" Target="https://meteor.aihw.gov.au/RegistrationAuthority/12" TargetMode="External" Id="Rc5119fdb106a432c" /><Relationship Type="http://schemas.openxmlformats.org/officeDocument/2006/relationships/hyperlink" Target="https://meteor.aihw.gov.au/content/421600" TargetMode="External" Id="R56d625c2b82148fb" /><Relationship Type="http://schemas.openxmlformats.org/officeDocument/2006/relationships/hyperlink" Target="https://meteor.aihw.gov.au/RegistrationAuthority/12" TargetMode="External" Id="Rab204ba5d86d4716" /><Relationship Type="http://schemas.openxmlformats.org/officeDocument/2006/relationships/hyperlink" Target="https://meteor.aihw.gov.au/content/435875" TargetMode="External" Id="R8ffc4a0ea2b243bc" /><Relationship Type="http://schemas.openxmlformats.org/officeDocument/2006/relationships/hyperlink" Target="https://meteor.aihw.gov.au/RegistrationAuthority/12" TargetMode="External" Id="R104a61552e464c69" /></Relationships>
</file>

<file path=word/_rels/header1.xml.rels>&#65279;<?xml version="1.0" encoding="utf-8"?><Relationships xmlns="http://schemas.openxmlformats.org/package/2006/relationships"><Relationship Type="http://schemas.openxmlformats.org/officeDocument/2006/relationships/image" Target="/media/image.png" Id="R51c27a0523014e5c" /></Relationships>
</file>