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64e1a72ddd430f" /></Relationships>
</file>

<file path=word/document.xml><?xml version="1.0" encoding="utf-8"?>
<w:document xmlns:r="http://schemas.openxmlformats.org/officeDocument/2006/relationships" xmlns:w="http://schemas.openxmlformats.org/wordprocessingml/2006/main">
  <w:body>
    <w:p>
      <w:pPr>
        <w:pStyle w:val="Title"/>
      </w:pPr>
      <w:r>
        <w:t>Establishment—number of group session occasions of service for non-admitted patients (allied health services), total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group session occasions of service for non-admitted patients (allied health services), total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Group sessions—allied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non-admitted patient care - allied health services group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f1c0b2c3344e6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occasions of examination, consultation, treatment or other services provided as group sessions to non-admitted patients in allied health services functional units or clinics of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63b7fe5fd404f08">
              <w:r>
                <w:rPr>
                  <w:rStyle w:val="Hyperlink"/>
                </w:rPr>
                <w:t xml:space="preserve">Establishment—number of group session occasions of service for non-admitted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fcda5119d85429a">
              <w:r>
                <w:rPr>
                  <w:rStyle w:val="Hyperlink"/>
                </w:rPr>
                <w:t xml:space="preserve">Total group sessions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Group session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Allied health services include units primarily concerned with physiotherapy, family planning, dietary advice, optometry, occupational therapy, and so on.</w:t>
            </w:r>
          </w:p>
          <w:p>
            <w:pPr>
              <w:spacing w:after="160"/>
            </w:pPr>
            <w:r>
              <w:rPr>
                <w:rStyle w:val="row-content-rich-text"/>
              </w:rPr>
              <w:t xml:space="preserve">Each group is to be counted once, irrespective of size or the number of staff providing services.</w:t>
            </w:r>
          </w:p>
          <w:p>
            <w:pPr/>
            <w:r>
              <w:rPr>
                <w:rStyle w:val="row-content-rich-text"/>
              </w:rPr>
              <w:t xml:space="preserve">A patient who first contacts the hospital and receives non-admitted care, for example through emergency departments, and is subsequently admitted, should have both components of care enumerated separately. Where possible, non-admitted occasions of service that are provided to patients who are subsequently admitted should be identified as a subset of the total occasions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At present, occasions of service to groups are counted in an inconsistent manner. The numbers of occasions of service should be collected for both individual and group sessions for public psychiatric hospitals and alcohol and drug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Outreach/community care is care delivered by hospital employees to the patient in the home, place of work or other non-hospital site. The distinction between non-admitted patient care and outreach care is that for non-admitted patient care the patients travel to the health care providers while for outreach care the health care providers travel to the patients. This distinction creates difficulties for community health centres. These centres are to be included in the national minimum data set where they are funded as sections within establishments that fall within the scope of the National Health Data Dictionary.</w:t>
            </w:r>
          </w:p>
          <w:p>
            <w:pPr>
              <w:spacing w:after="160"/>
            </w:pPr>
            <w:r>
              <w:rPr>
                <w:rStyle w:val="row-content-rich-text"/>
              </w:rPr>
              <w:t xml:space="preserve">For example, baby clinics, immunisation groups or aged care assessment teams, which are funded through acute hospitals, may provide care to some clients within the hospital grounds or externally. It is intended that all community health activity be measured under community health regardless of where the services are provided.</w:t>
            </w:r>
          </w:p>
          <w:p>
            <w:pPr>
              <w:spacing w:after="160"/>
            </w:pPr>
            <w:r>
              <w:rPr>
                <w:rStyle w:val="row-content-rich-text"/>
              </w:rPr>
              <w:t xml:space="preserve">This metadata item is derived from metadata items that are not currently specified in METeOR, but which are recorded in various ways by hospitals/outpatient departments. Examples include identifiers of individual consultations/visits, and diagnostic tests.</w:t>
            </w:r>
          </w:p>
          <w:p>
            <w:pPr>
              <w:spacing w:after="160"/>
            </w:pPr>
            <w:r>
              <w:rPr>
                <w:rStyle w:val="row-content-rich-text"/>
              </w:rPr>
              <w:t xml:space="preserve">This metadata item identifies types of services provided to non-admitted patients in different institutional ways in different systems. It is not a summary casemix classification.</w:t>
            </w:r>
          </w:p>
          <w:p>
            <w:pPr/>
            <w:r>
              <w:rPr>
                <w:rStyle w:val="row-content-rich-text"/>
              </w:rPr>
              <w:t xml:space="preserve">The list of Type of non-admitted patient care categories was to be developed using typical functional units or cost centres within existing institutions. These would include designated wards or departments and specialised clinics. Although the current statistical/financial returns submitted to the various health authorities by their hospitals do not provide a minimum subset, an effort has been made to define the categories in respect to those areas commonly collected. Many functional units provide services to both admitted patients and non-admitted patients, for example pathology. Only occasions of service for non-admitted patients should be included in this section.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4eb3748b349f410c">
              <w:r>
                <w:drawing>
                  <wp:inline xmlns:wp="http://schemas.openxmlformats.org/drawingml/2006/wordprocessingDrawing" distT="0" distB="0" distL="0" distR="0">
                    <wp:extent cx="152400" cy="152400"/>
                    <wp:effectExtent l="19050" t="0" r="0" b="0"/>
                    <wp:docPr id="2" name="Picture 2" descr="">
                      <a:hlinkClick xmlns:a="http://schemas.openxmlformats.org/drawingml/2006/main" r:id="R4eb3748b349f410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e8fcb5440044de2"/>
                            <a:srcRect/>
                            <a:stretch>
                              <a:fillRect/>
                            </a:stretch>
                          </pic:blipFill>
                          <pic:spPr bwMode="auto">
                            <a:xfrm>
                              <a:off x="0" y="0"/>
                              <a:ext cx="152400" cy="152400"/>
                            </a:xfrm>
                            <a:prstGeom prst="rect">
                              <a:avLst/>
                            </a:prstGeom>
                          </pic:spPr>
                        </pic:pic>
                      </a:graphicData>
                    </a:graphic>
                  </wp:inline>
                </w:drawing>
              </w:r>
              <w:r>
                <w:rPr>
                  <w:rStyle w:val="Hyperlink"/>
                </w:rPr>
                <w:t xml:space="preserve"> Group sessions, version 1, Derived DE, NHDD, NHIMG, Superseded 01/03/2005.pdf</w:t>
              </w:r>
            </w:hyperlink>
          </w:p>
          <w:p>
            <w:r>
              <w:rPr>
                <w:rStyle w:val="row-content"/>
              </w:rPr>
              <w:t xml:space="preserve"> (14.1 KB)</w:t>
            </w:r>
          </w:p>
          <w:p>
            <w:pPr>
              <w:pStyle w:val="registration-status"/>
              <w:spacing w:before="0" w:after="0"/>
            </w:pPr>
            <w:r>
              <w:rPr>
                <w:rStyle w:val="row-content"/>
                <w:i/>
                <w:color w:val="244061"/>
              </w:rPr>
              <w:t xml:space="preserve">No registration status</w:t>
            </w:r>
          </w:p>
          <w:p>
            <w:r>
              <w:br/>
            </w:r>
            <w:r>
              <w:rPr>
                <w:rStyle w:val="row-content"/>
              </w:rPr>
              <w:t xml:space="preserve">Is re-engineered from </w:t>
            </w:r>
            <w:hyperlink w:history="true" r:id="Re1bf7d0ac34846fe">
              <w:r>
                <w:drawing>
                  <wp:inline xmlns:wp="http://schemas.openxmlformats.org/drawingml/2006/wordprocessingDrawing" distT="0" distB="0" distL="0" distR="0">
                    <wp:extent cx="152400" cy="152400"/>
                    <wp:effectExtent l="19050" t="0" r="0" b="0"/>
                    <wp:docPr id="3" name="Picture 3" descr="">
                      <a:hlinkClick xmlns:a="http://schemas.openxmlformats.org/drawingml/2006/main" r:id="Re1bf7d0ac34846f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d93817f670204592"/>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version 1, Derived DE, NHDD, NHIMG, Superseded 01/03/2005.pdf</w:t>
              </w:r>
            </w:hyperlink>
          </w:p>
          <w:p>
            <w:r>
              <w:rPr>
                <w:rStyle w:val="row-content"/>
              </w:rPr>
              <w:t xml:space="preserve"> (26.0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7d1ab72b6c74106">
              <w:r>
                <w:rPr>
                  <w:rStyle w:val="Hyperlink"/>
                </w:rPr>
                <w:t xml:space="preserve">Public hospital establishments NMDS</w:t>
              </w:r>
            </w:hyperlink>
          </w:p>
          <w:p>
            <w:pPr>
              <w:pStyle w:val="registration-status"/>
              <w:spacing w:before="0" w:after="0"/>
            </w:pPr>
            <w:hyperlink w:history="true" r:id="R147d2fff60664a8e">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cb413ec115224b20">
              <w:r>
                <w:rPr>
                  <w:rStyle w:val="Hyperlink"/>
                </w:rPr>
                <w:t xml:space="preserve">Public hospital establishments NMDS</w:t>
              </w:r>
            </w:hyperlink>
          </w:p>
          <w:p>
            <w:pPr>
              <w:pStyle w:val="registration-status"/>
              <w:spacing w:before="0" w:after="0"/>
            </w:pPr>
            <w:hyperlink w:history="true" r:id="R4645c2c9d2fd4b83">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0141670773dc4276">
              <w:r>
                <w:rPr>
                  <w:rStyle w:val="Hyperlink"/>
                </w:rPr>
                <w:t xml:space="preserve">Public hospital establishments NMDS 2007-08</w:t>
              </w:r>
            </w:hyperlink>
          </w:p>
          <w:p>
            <w:pPr>
              <w:pStyle w:val="registration-status"/>
              <w:spacing w:before="0" w:after="0"/>
            </w:pPr>
            <w:hyperlink w:history="true" r:id="R2745f88a9a404aee">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fd872f8285d2452b">
              <w:r>
                <w:rPr>
                  <w:rStyle w:val="Hyperlink"/>
                </w:rPr>
                <w:t xml:space="preserve">Public hospital establishments NMDS 2008-09</w:t>
              </w:r>
            </w:hyperlink>
          </w:p>
          <w:p>
            <w:pPr>
              <w:pStyle w:val="registration-status"/>
              <w:spacing w:before="0" w:after="0"/>
            </w:pPr>
            <w:hyperlink w:history="true" r:id="R4fb3f5071a1047ff">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b71051f2caae4b81">
              <w:r>
                <w:rPr>
                  <w:rStyle w:val="Hyperlink"/>
                </w:rPr>
                <w:t xml:space="preserve">Public hospital establishments NMDS 2009-10</w:t>
              </w:r>
            </w:hyperlink>
          </w:p>
          <w:p>
            <w:pPr>
              <w:pStyle w:val="registration-status"/>
              <w:spacing w:before="0" w:after="0"/>
            </w:pPr>
            <w:hyperlink w:history="true" r:id="R8dbb5f57273c4cad">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7cf18ecf6dd0483d">
              <w:r>
                <w:rPr>
                  <w:rStyle w:val="Hyperlink"/>
                </w:rPr>
                <w:t xml:space="preserve">Public hospital establishments NMDS 2010-11</w:t>
              </w:r>
            </w:hyperlink>
          </w:p>
          <w:p>
            <w:pPr>
              <w:pStyle w:val="registration-status"/>
              <w:spacing w:before="0" w:after="0"/>
            </w:pPr>
            <w:hyperlink w:history="true" r:id="Rf1b39af3128740a8">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cd13fb4d77b346d5">
              <w:r>
                <w:rPr>
                  <w:rStyle w:val="Hyperlink"/>
                </w:rPr>
                <w:t xml:space="preserve">Public hospital establishments NMDS 2011-12</w:t>
              </w:r>
            </w:hyperlink>
          </w:p>
          <w:p>
            <w:pPr>
              <w:pStyle w:val="registration-status"/>
              <w:spacing w:before="0" w:after="0"/>
            </w:pPr>
            <w:hyperlink w:history="true" r:id="R697224fc8eb54ec7">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130f54d9f0544a9d">
              <w:r>
                <w:rPr>
                  <w:rStyle w:val="Hyperlink"/>
                </w:rPr>
                <w:t xml:space="preserve">Public hospital establishments NMDS 2012-13</w:t>
              </w:r>
            </w:hyperlink>
          </w:p>
          <w:p>
            <w:pPr>
              <w:pStyle w:val="registration-status"/>
              <w:spacing w:before="0" w:after="0"/>
            </w:pPr>
            <w:hyperlink w:history="true" r:id="Rd05b1555d0c44b09">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d7c0b50b42a34750">
              <w:r>
                <w:rPr>
                  <w:rStyle w:val="Hyperlink"/>
                </w:rPr>
                <w:t xml:space="preserve">Public hospital establishments NMDS 2013-14</w:t>
              </w:r>
            </w:hyperlink>
          </w:p>
          <w:p>
            <w:pPr>
              <w:pStyle w:val="registration-status"/>
              <w:spacing w:before="0" w:after="0"/>
            </w:pPr>
            <w:hyperlink w:history="true" r:id="Re663da8d1c764b6e">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45e8ff642b4940fb">
              <w:r>
                <w:rPr>
                  <w:rStyle w:val="Hyperlink"/>
                </w:rPr>
                <w:t xml:space="preserve">National Healthcare Agreement: P46-Rates of services: Outpatient occasions of service, 2010</w:t>
              </w:r>
            </w:hyperlink>
          </w:p>
          <w:p>
            <w:pPr>
              <w:pStyle w:val="registration-status"/>
              <w:spacing w:before="0" w:after="0"/>
            </w:pPr>
            <w:hyperlink w:history="true" r:id="R93ba2074183e4fc4">
              <w:r>
                <w:rPr>
                  <w:rStyle w:val="Hyperlink"/>
                  <w:color w:val="244061"/>
                </w:rPr>
                <w:t xml:space="preserve">Health</w:t>
              </w:r>
            </w:hyperlink>
            <w:r>
              <w:rPr>
                <w:rStyle w:val="row-content"/>
                <w:color w:val="244061"/>
              </w:rPr>
              <w:t xml:space="preserve">, Superseded 08/06/2011</w:t>
            </w:r>
          </w:p>
          <w:p>
            <w:r>
              <w:br/>
            </w:r>
            <w:r>
              <w:rPr>
                <w:rStyle w:val="row-content"/>
                <w:b/>
              </w:rPr>
              <w:t xml:space="preserve">Used as Disaggregation</w:t>
            </w:r>
            <w:r>
              <w:br/>
            </w:r>
            <w:hyperlink w:history="true" r:id="R42a89875ccd3416b">
              <w:r>
                <w:rPr>
                  <w:rStyle w:val="Hyperlink"/>
                </w:rPr>
                <w:t xml:space="preserve">National Healthcare Agreement: P46-Rates of services: Outpatient occasions of service, 2010</w:t>
              </w:r>
            </w:hyperlink>
          </w:p>
          <w:p>
            <w:pPr>
              <w:pStyle w:val="registration-status"/>
              <w:spacing w:before="0" w:after="0"/>
            </w:pPr>
            <w:hyperlink w:history="true" r:id="R5c918c9ebd4c42e9">
              <w:r>
                <w:rPr>
                  <w:rStyle w:val="Hyperlink"/>
                  <w:color w:val="244061"/>
                </w:rPr>
                <w:t xml:space="preserve">Health</w:t>
              </w:r>
            </w:hyperlink>
            <w:r>
              <w:rPr>
                <w:rStyle w:val="row-content"/>
                <w:color w:val="244061"/>
              </w:rPr>
              <w:t xml:space="preserve">, Superseded 08/06/2011</w:t>
            </w:r>
          </w:p>
          <w:p>
            <w:r>
              <w:br/>
            </w:r>
          </w:p>
        </w:tc>
      </w:tr>
    </w:tbl>
    <w:p/>
    <w:tbl>
      <w:tblPr>
        <w:tblStyle w:val="TableGrid"/>
        <w:tblW w:w="0" w:type="auto"/>
      </w:tblPr>
    </w:tbl>
    <w:p>
      <w:r>
        <w:br/>
      </w:r>
    </w:p>
    <w:sectPr>
      <w:footerReference xmlns:r="http://schemas.openxmlformats.org/officeDocument/2006/relationships" w:type="default" r:id="Rdef91a9f77f449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cb0628c7df47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f91a9f77f44991" /><Relationship Type="http://schemas.openxmlformats.org/officeDocument/2006/relationships/header" Target="/word/header1.xml" Id="R2e8e1662285c488c" /><Relationship Type="http://schemas.openxmlformats.org/officeDocument/2006/relationships/settings" Target="/word/settings.xml" Id="R0a102044c5f743dd" /><Relationship Type="http://schemas.openxmlformats.org/officeDocument/2006/relationships/styles" Target="/word/styles.xml" Id="R6c9b8e524f4a4c0d" /><Relationship Type="http://schemas.openxmlformats.org/officeDocument/2006/relationships/image" Target="/media/image.gif" Id="R8e8fcb5440044de2" /><Relationship Type="http://schemas.openxmlformats.org/officeDocument/2006/relationships/image" Target="/media/image2.gif" Id="Rd93817f670204592" /><Relationship Type="http://schemas.openxmlformats.org/officeDocument/2006/relationships/hyperlink" Target="https://meteor.aihw.gov.au/RegistrationAuthority/12" TargetMode="External" Id="Rcef1c0b2c3344e66" /><Relationship Type="http://schemas.openxmlformats.org/officeDocument/2006/relationships/hyperlink" Target="https://meteor.aihw.gov.au/content/269674" TargetMode="External" Id="R163b7fe5fd404f08" /><Relationship Type="http://schemas.openxmlformats.org/officeDocument/2006/relationships/hyperlink" Target="https://meteor.aihw.gov.au/content/270874" TargetMode="External" Id="R2fcda5119d85429a" /><Relationship Type="http://schemas.openxmlformats.org/officeDocument/2006/relationships/hyperlink" Target="https://meteor.aihw.gov.au/content/273191" TargetMode="External" Id="R4eb3748b349f410c" /><Relationship Type="http://schemas.openxmlformats.org/officeDocument/2006/relationships/hyperlink" Target="https://meteor.aihw.gov.au/content/273195" TargetMode="External" Id="Re1bf7d0ac34846fe" /><Relationship Type="http://schemas.openxmlformats.org/officeDocument/2006/relationships/hyperlink" Target="https://meteor.aihw.gov.au/content/273047" TargetMode="External" Id="R07d1ab72b6c74106" /><Relationship Type="http://schemas.openxmlformats.org/officeDocument/2006/relationships/hyperlink" Target="https://meteor.aihw.gov.au/RegistrationAuthority/12" TargetMode="External" Id="R147d2fff60664a8e" /><Relationship Type="http://schemas.openxmlformats.org/officeDocument/2006/relationships/hyperlink" Target="https://meteor.aihw.gov.au/content/334285" TargetMode="External" Id="Rcb413ec115224b20" /><Relationship Type="http://schemas.openxmlformats.org/officeDocument/2006/relationships/hyperlink" Target="https://meteor.aihw.gov.au/RegistrationAuthority/12" TargetMode="External" Id="R4645c2c9d2fd4b83" /><Relationship Type="http://schemas.openxmlformats.org/officeDocument/2006/relationships/hyperlink" Target="https://meteor.aihw.gov.au/content/345139" TargetMode="External" Id="R0141670773dc4276" /><Relationship Type="http://schemas.openxmlformats.org/officeDocument/2006/relationships/hyperlink" Target="https://meteor.aihw.gov.au/RegistrationAuthority/12" TargetMode="External" Id="R2745f88a9a404aee" /><Relationship Type="http://schemas.openxmlformats.org/officeDocument/2006/relationships/hyperlink" Target="https://meteor.aihw.gov.au/content/362302" TargetMode="External" Id="Rfd872f8285d2452b" /><Relationship Type="http://schemas.openxmlformats.org/officeDocument/2006/relationships/hyperlink" Target="https://meteor.aihw.gov.au/RegistrationAuthority/12" TargetMode="External" Id="R4fb3f5071a1047ff" /><Relationship Type="http://schemas.openxmlformats.org/officeDocument/2006/relationships/hyperlink" Target="https://meteor.aihw.gov.au/content/374924" TargetMode="External" Id="Rb71051f2caae4b81" /><Relationship Type="http://schemas.openxmlformats.org/officeDocument/2006/relationships/hyperlink" Target="https://meteor.aihw.gov.au/RegistrationAuthority/12" TargetMode="External" Id="R8dbb5f57273c4cad" /><Relationship Type="http://schemas.openxmlformats.org/officeDocument/2006/relationships/hyperlink" Target="https://meteor.aihw.gov.au/content/386794" TargetMode="External" Id="R7cf18ecf6dd0483d" /><Relationship Type="http://schemas.openxmlformats.org/officeDocument/2006/relationships/hyperlink" Target="https://meteor.aihw.gov.au/RegistrationAuthority/12" TargetMode="External" Id="Rf1b39af3128740a8" /><Relationship Type="http://schemas.openxmlformats.org/officeDocument/2006/relationships/hyperlink" Target="https://meteor.aihw.gov.au/content/426900" TargetMode="External" Id="Rcd13fb4d77b346d5" /><Relationship Type="http://schemas.openxmlformats.org/officeDocument/2006/relationships/hyperlink" Target="https://meteor.aihw.gov.au/RegistrationAuthority/12" TargetMode="External" Id="R697224fc8eb54ec7" /><Relationship Type="http://schemas.openxmlformats.org/officeDocument/2006/relationships/hyperlink" Target="https://meteor.aihw.gov.au/content/470656" TargetMode="External" Id="R130f54d9f0544a9d" /><Relationship Type="http://schemas.openxmlformats.org/officeDocument/2006/relationships/hyperlink" Target="https://meteor.aihw.gov.au/RegistrationAuthority/12" TargetMode="External" Id="Rd05b1555d0c44b09" /><Relationship Type="http://schemas.openxmlformats.org/officeDocument/2006/relationships/hyperlink" Target="https://meteor.aihw.gov.au/content/504279" TargetMode="External" Id="Rd7c0b50b42a34750" /><Relationship Type="http://schemas.openxmlformats.org/officeDocument/2006/relationships/hyperlink" Target="https://meteor.aihw.gov.au/RegistrationAuthority/12" TargetMode="External" Id="Re663da8d1c764b6e" /><Relationship Type="http://schemas.openxmlformats.org/officeDocument/2006/relationships/hyperlink" Target="https://meteor.aihw.gov.au/content/395091" TargetMode="External" Id="R45e8ff642b4940fb" /><Relationship Type="http://schemas.openxmlformats.org/officeDocument/2006/relationships/hyperlink" Target="https://meteor.aihw.gov.au/RegistrationAuthority/12" TargetMode="External" Id="R93ba2074183e4fc4" /><Relationship Type="http://schemas.openxmlformats.org/officeDocument/2006/relationships/hyperlink" Target="https://meteor.aihw.gov.au/content/395091" TargetMode="External" Id="R42a89875ccd3416b" /><Relationship Type="http://schemas.openxmlformats.org/officeDocument/2006/relationships/hyperlink" Target="https://meteor.aihw.gov.au/RegistrationAuthority/12" TargetMode="External" Id="R5c918c9ebd4c42e9" /></Relationships>
</file>

<file path=word/_rels/header1.xml.rels>&#65279;<?xml version="1.0" encoding="utf-8"?><Relationships xmlns="http://schemas.openxmlformats.org/package/2006/relationships"><Relationship Type="http://schemas.openxmlformats.org/officeDocument/2006/relationships/image" Target="/media/image.png" Id="R74cb0628c7df472d" /></Relationships>
</file>