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ef48bb1c304e06" /></Relationships>
</file>

<file path=word/document.xml><?xml version="1.0" encoding="utf-8"?>
<w:document xmlns:r="http://schemas.openxmlformats.org/officeDocument/2006/relationships" xmlns:w="http://schemas.openxmlformats.org/wordprocessingml/2006/main">
  <w:body>
    <w:p>
      <w:pPr>
        <w:pStyle w:val="Title"/>
      </w:pPr>
      <w:r>
        <w:t>Health professional—labour force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professional—labour force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Profession labour force status of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877bd03b4442e">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Employment status of a health professional in a particular profession at the time of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a669da1f774a1e">
              <w:r>
                <w:rPr>
                  <w:rStyle w:val="Hyperlink"/>
                </w:rPr>
                <w:t xml:space="preserve">Health professional—labour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d3848a455742eb">
              <w:r>
                <w:rPr>
                  <w:rStyle w:val="Hyperlink"/>
                </w:rPr>
                <w:t xml:space="preserve">Labour force status of health professional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 in the profession: working in/practising the reference profession - in reference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Employed in the profession: working in/practising the reference profession - mainly in other State(s) but also in reference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Employed in the profession: working in/practising the reference profession - mainly in reference State but also in other State(s)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Employed in the profession: working in/practising the reference profession - only in State(s) other than reference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Employed elsewhere, looking for work in the profession: in paid work not in the field of profession but looking for paid work/practice in the profession - seeking either full-time or part-time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Employed elsewhere, looking for work in the profession: in paid work not in the field of profession but looking for paid work/practice in the profession - seeking 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Employed elsewhere, looking for work in the profession: in paid work not in the field of profession but looking for paid work/practice in the profession - seeking part-time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Employed elsewhere, looking for work in the profession: in paid work not in the field of profession but looking for paid work/practice in the profession - seeking work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Unemployed, looking for work in the profession: not in paid work but looking for work in the field of profession - seeking either full-time or part-time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Unemployed, looking for work in the profession: not in paid work but looking for work in the field of profession - seeking 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Unemployed, looking for work in the profession: not in paid work but looking for work in the field of profession - seeking part-time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Unemployed, looking for work in the profession: not in paid work but looking for work in the field of profession - seeking work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 the labour force for the profession: not in work/practice in the profession and not looking for work/practice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in the labour force for the profession: working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Employment in a particular health profession is defined by practice of that profession or work that is principally concerned with the discipline of the profession (for example, research in the field of the profession, administration of the profession, teaching of the profession or health promotion through public dissemination of the professional knowledge of the profession).</w:t>
            </w:r>
          </w:p>
          <w:p>
            <w:pPr>
              <w:spacing w:after="160"/>
            </w:pPr>
            <w:r>
              <w:rPr>
                <w:rStyle w:val="row-content-rich-text"/>
              </w:rPr>
              <w:t xml:space="preserve">The term 'employed in the profession' equates to persons who have a job in Australia in the field of the reference profession.</w:t>
            </w:r>
          </w:p>
          <w:p>
            <w:pPr>
              <w:spacing w:after="160"/>
            </w:pPr>
            <w:r>
              <w:rPr>
                <w:rStyle w:val="row-content-rich-text"/>
              </w:rPr>
              <w:t xml:space="preserve">A person who is normally employed in the profession but is on leave at the time of the annual survey is defined as being employed.</w:t>
            </w:r>
          </w:p>
          <w:p>
            <w:pPr>
              <w:spacing w:after="160"/>
            </w:pPr>
            <w:r>
              <w:rPr>
                <w:rStyle w:val="row-content-rich-text"/>
              </w:rPr>
              <w:t xml:space="preserve">A health professional who is not employed but is eligible to work in, and is seeking employment in the profession, is defined as unemployed in the profession.</w:t>
            </w:r>
          </w:p>
          <w:p>
            <w:pPr>
              <w:spacing w:after="160"/>
            </w:pPr>
            <w:r>
              <w:rPr>
                <w:rStyle w:val="row-content-rich-text"/>
              </w:rPr>
              <w:t xml:space="preserve">A health professional looking for work in the profession, and not currently employed in the profession, may be either unemployed or employed in an occupation other than the profession.</w:t>
            </w:r>
          </w:p>
          <w:p>
            <w:pPr>
              <w:spacing w:after="160"/>
            </w:pPr>
            <w:r>
              <w:rPr>
                <w:rStyle w:val="row-content-rich-text"/>
              </w:rPr>
              <w:t xml:space="preserve">A registered health professional who is not employed in the profession, nor is looking for work in the profession, is defined as not in the labour force for the profession.</w:t>
            </w:r>
          </w:p>
          <w:p>
            <w:pPr/>
            <w:r>
              <w:rPr>
                <w:rStyle w:val="row-content-rich-text"/>
              </w:rPr>
              <w:t xml:space="preserve">Registered health professionals not in the labour force for the profession may be either not employed and not looking for work, or employed in another occupation and not looking for work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national health labour force collection survey questionnaire, this is the key filter question. It excludes from further survey questions at this point:</w:t>
            </w:r>
          </w:p>
          <w:p>
            <w:pPr>
              <w:pStyle w:val="ListParagraph"/>
              <w:numPr>
                <w:ilvl w:val="0"/>
                <w:numId w:val="2"/>
              </w:numPr>
            </w:pPr>
            <w:r>
              <w:rPr>
                <w:rStyle w:val="row-content-rich-text"/>
              </w:rPr>
              <w:t xml:space="preserve">persons working overseas although working/practising in the reference profession</w:t>
            </w:r>
          </w:p>
          <w:p>
            <w:pPr>
              <w:pStyle w:val="ListParagraph"/>
              <w:numPr>
                <w:ilvl w:val="0"/>
                <w:numId w:val="2"/>
              </w:numPr>
            </w:pPr>
            <w:r>
              <w:rPr>
                <w:rStyle w:val="row-content-rich-text"/>
              </w:rPr>
              <w:t xml:space="preserve">respondents working only in states other than the reference state</w:t>
            </w:r>
          </w:p>
          <w:p>
            <w:pPr>
              <w:pStyle w:val="ListParagraph"/>
              <w:numPr>
                <w:ilvl w:val="0"/>
                <w:numId w:val="2"/>
              </w:numPr>
            </w:pPr>
            <w:r>
              <w:rPr>
                <w:rStyle w:val="row-content-rich-text"/>
              </w:rPr>
              <w:t xml:space="preserve">respondents not working in the reference profession and not looking for work in the reference profession.</w:t>
            </w:r>
          </w:p>
          <w:p>
            <w:pPr/>
            <w:r>
              <w:rPr>
                <w:rStyle w:val="row-content-rich-text"/>
              </w:rPr>
              <w:t xml:space="preserve">It also directs respondents working in the reference state and other states to respond to subsequent questions only in respect of work in the reference state. These distinctions are necessary in order to eliminate multiple counting for respondents renewing licenses to practise in more than one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of employed and unemployed in this metadata item differ from Australian Bureau of Statistics (ABS) definitions for these categories defined in LFA2 'Employed persons', LFA8 'Labour force status', LFA9 'Looking for full-time work', LFA10 'Looking for part-time work', LFA12 'Not in the labour force', LFA13 'Status in employment', and LFA14 'Unemployed persons'.</w:t>
            </w:r>
          </w:p>
          <w:p>
            <w:pPr>
              <w:spacing w:after="160"/>
            </w:pPr>
            <w:r>
              <w:rPr>
                <w:rStyle w:val="row-content-rich-text"/>
              </w:rPr>
              <w:t xml:space="preserve">The main differences are:</w:t>
            </w:r>
          </w:p>
          <w:p>
            <w:pPr>
              <w:pStyle w:val="ListParagraph"/>
              <w:numPr>
                <w:ilvl w:val="0"/>
                <w:numId w:val="3"/>
              </w:numPr>
            </w:pPr>
            <w:r>
              <w:rPr>
                <w:rStyle w:val="row-content-rich-text"/>
              </w:rPr>
              <w:t xml:space="preserve">The National Health Labour Force Collection includes persons other than clinicians working in the profession as persons employed in the profession. The ABS uses the Australian Standard Classification of Occupations where, in general, classes for health occupations do not cover non-clinicians. The main exception to this is nursing where, because of the size of the profession, there are classes for nursing administrators and educators.</w:t>
            </w:r>
          </w:p>
          <w:p>
            <w:pPr>
              <w:pStyle w:val="ListParagraph"/>
              <w:numPr>
                <w:ilvl w:val="0"/>
                <w:numId w:val="3"/>
              </w:numPr>
            </w:pPr>
            <w:r>
              <w:rPr>
                <w:rStyle w:val="row-content-rich-text"/>
              </w:rPr>
              <w:t xml:space="preserve">The labour force collection includes health professionals working in the Defence Forces; ABS does not, with the exception of the population census.</w:t>
            </w:r>
          </w:p>
          <w:p>
            <w:pPr>
              <w:pStyle w:val="ListParagraph"/>
              <w:numPr>
                <w:ilvl w:val="0"/>
                <w:numId w:val="3"/>
              </w:numPr>
            </w:pPr>
            <w:r>
              <w:rPr>
                <w:rStyle w:val="row-content-rich-text"/>
              </w:rPr>
              <w:t xml:space="preserve">ABS uses a tightly defined reference period for employment and unemployment; the labour force collection reference period is self-defined by the respondent as his/her usual status at the time of completion of the survey questionnaire.</w:t>
            </w:r>
          </w:p>
          <w:p>
            <w:pPr>
              <w:pStyle w:val="ListParagraph"/>
              <w:numPr>
                <w:ilvl w:val="0"/>
                <w:numId w:val="3"/>
              </w:numPr>
            </w:pPr>
            <w:r>
              <w:rPr>
                <w:rStyle w:val="row-content-rich-text"/>
              </w:rPr>
              <w:t xml:space="preserve">The labour force collection includes, among persons looking for work in the profession, those persons who are registered health professionals but employed in another occupation and looking for work in the profession; ABS does not.</w:t>
            </w:r>
          </w:p>
          <w:p>
            <w:pPr>
              <w:pStyle w:val="ListParagraph"/>
              <w:numPr>
                <w:ilvl w:val="0"/>
                <w:numId w:val="3"/>
              </w:numPr>
            </w:pPr>
            <w:r>
              <w:rPr>
                <w:rStyle w:val="row-content-rich-text"/>
              </w:rPr>
              <w:t xml:space="preserve">The labour force collection includes in the category not in the labour force health professionals registered in Australia but working overseas; such persons are excluded from the scope of ABS censuses and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85902ec1014369">
              <w:r>
                <w:rPr>
                  <w:rStyle w:val="Hyperlink"/>
                </w:rPr>
                <w:t xml:space="preserve">Registered health professional—labour force status, registered health professional code N</w:t>
              </w:r>
            </w:hyperlink>
          </w:p>
          <w:p>
            <w:pPr>
              <w:spacing w:before="0" w:after="0"/>
            </w:pPr>
            <w:r>
              <w:rPr>
                <w:rStyle w:val="row-content"/>
                <w:color w:val="244061"/>
              </w:rPr>
              <w:t xml:space="preserve">       </w:t>
            </w:r>
            <w:hyperlink w:history="true" r:id="R4493999f853a458e">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a89e9d6af57d4c4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89e9d6af57d4c4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1836869117435a"/>
                            <a:srcRect/>
                            <a:stretch>
                              <a:fillRect/>
                            </a:stretch>
                          </pic:blipFill>
                          <pic:spPr bwMode="auto">
                            <a:xfrm>
                              <a:off x="0" y="0"/>
                              <a:ext cx="152400" cy="152400"/>
                            </a:xfrm>
                            <a:prstGeom prst="rect">
                              <a:avLst/>
                            </a:prstGeom>
                          </pic:spPr>
                        </pic:pic>
                      </a:graphicData>
                    </a:graphic>
                  </wp:inline>
                </w:drawing>
              </w:r>
              <w:r>
                <w:rPr>
                  <w:rStyle w:val="Hyperlink"/>
                </w:rPr>
                <w:t xml:space="preserve"> Profession labour force status of health professional, version 1, DE, NHDD, NHIMG, Superseded 01/03/2005.pdf</w:t>
              </w:r>
            </w:hyperlink>
          </w:p>
          <w:p>
            <w:r>
              <w:rPr>
                <w:rStyle w:val="row-content"/>
              </w:rPr>
              <w:t xml:space="preserve"> (24.8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2558468a1c4a95">
              <w:r>
                <w:rPr>
                  <w:rStyle w:val="Hyperlink"/>
                </w:rPr>
                <w:t xml:space="preserve">Health labour force NMDS</w:t>
              </w:r>
            </w:hyperlink>
          </w:p>
          <w:p>
            <w:pPr>
              <w:spacing w:before="0" w:after="0"/>
            </w:pPr>
            <w:r>
              <w:rPr>
                <w:rStyle w:val="row-content"/>
                <w:color w:val="244061"/>
              </w:rPr>
              <w:t xml:space="preserve">       </w:t>
            </w:r>
            <w:hyperlink w:history="true" r:id="Re658eb10f7534bc5">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metadata item provides essential data for estimating the size and distribution of the health labour force, monitoring growth, forecasting future supply, and addressing work force planning issues. It was developed by the National Committee for Health and Vital Statistics during the 1980s and endorsed by the Australian Health Ministers Advisory Council in 1990 as a national minimum data set item for development of the national health labour force collections.</w:t>
            </w:r>
          </w:p>
          <w:p>
            <w:r>
              <w:br/>
            </w:r>
            <w:r>
              <w:br/>
            </w:r>
            <w:hyperlink w:history="true" r:id="R934eb41c47b04a29">
              <w:r>
                <w:rPr>
                  <w:rStyle w:val="Hyperlink"/>
                </w:rPr>
                <w:t xml:space="preserve">Health professional-labour force status cluster</w:t>
              </w:r>
            </w:hyperlink>
          </w:p>
          <w:p>
            <w:pPr>
              <w:spacing w:before="0" w:after="0"/>
            </w:pPr>
            <w:r>
              <w:rPr>
                <w:rStyle w:val="row-content"/>
                <w:color w:val="244061"/>
              </w:rPr>
              <w:t xml:space="preserve">       </w:t>
            </w:r>
            <w:hyperlink w:history="true" r:id="Ra44bc4c5253849fc">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22/02/2010</w:t>
            </w:r>
            <w:r>
              <w:br/>
            </w:r>
            <w:r>
              <w:br/>
            </w:r>
          </w:p>
        </w:tc>
      </w:tr>
    </w:tbl>
    <w:p/>
    <w:tbl>
      <w:tblPr>
        <w:tblStyle w:val="TableGrid"/>
        <w:tblW w:w="0" w:type="auto"/>
      </w:tblPr>
    </w:tbl>
    <w:p>
      <w:r>
        <w:br/>
      </w:r>
    </w:p>
    <w:sectPr>
      <w:footerReference xmlns:r="http://schemas.openxmlformats.org/officeDocument/2006/relationships" w:type="default" r:id="Ra8cb69a85b45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88d58db98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b69a85b454467" /><Relationship Type="http://schemas.openxmlformats.org/officeDocument/2006/relationships/header" Target="/word/header1.xml" Id="R38d704817ad94b48" /><Relationship Type="http://schemas.openxmlformats.org/officeDocument/2006/relationships/settings" Target="/word/settings.xml" Id="R843e0e1537994f6e" /><Relationship Type="http://schemas.openxmlformats.org/officeDocument/2006/relationships/styles" Target="/word/styles.xml" Id="Rd585add3cb334d84" /><Relationship Type="http://schemas.openxmlformats.org/officeDocument/2006/relationships/hyperlink" Target="https://meteor.aihw.gov.au/RegistrationAuthority/12" TargetMode="External" Id="R87e877bd03b4442e" /><Relationship Type="http://schemas.openxmlformats.org/officeDocument/2006/relationships/hyperlink" Target="https://meteor.aihw.gov.au/content/269606" TargetMode="External" Id="R9ea669da1f774a1e" /><Relationship Type="http://schemas.openxmlformats.org/officeDocument/2006/relationships/hyperlink" Target="https://meteor.aihw.gov.au/content/270727" TargetMode="External" Id="Rb1d3848a455742eb" /><Relationship Type="http://schemas.openxmlformats.org/officeDocument/2006/relationships/numbering" Target="/word/numbering.xml" Id="R8f92ddc56f70499c" /><Relationship Type="http://schemas.openxmlformats.org/officeDocument/2006/relationships/hyperlink" Target="https://meteor.aihw.gov.au/content/383389" TargetMode="External" Id="Rea85902ec1014369" /><Relationship Type="http://schemas.openxmlformats.org/officeDocument/2006/relationships/hyperlink" Target="https://meteor.aihw.gov.au/RegistrationAuthority/12" TargetMode="External" Id="R4493999f853a458e" /><Relationship Type="http://schemas.openxmlformats.org/officeDocument/2006/relationships/hyperlink" Target="https://meteor.aihw.gov.au/content/273159" TargetMode="External" Id="Ra89e9d6af57d4c44" /><Relationship Type="http://schemas.openxmlformats.org/officeDocument/2006/relationships/image" Target="/media/image.gif" Id="Ra91836869117435a" /><Relationship Type="http://schemas.openxmlformats.org/officeDocument/2006/relationships/hyperlink" Target="https://meteor.aihw.gov.au/content/273041" TargetMode="External" Id="R4a2558468a1c4a95" /><Relationship Type="http://schemas.openxmlformats.org/officeDocument/2006/relationships/hyperlink" Target="https://meteor.aihw.gov.au/RegistrationAuthority/12" TargetMode="External" Id="Re658eb10f7534bc5" /><Relationship Type="http://schemas.openxmlformats.org/officeDocument/2006/relationships/hyperlink" Target="https://meteor.aihw.gov.au/content/396649" TargetMode="External" Id="R934eb41c47b04a29" /><Relationship Type="http://schemas.openxmlformats.org/officeDocument/2006/relationships/hyperlink" Target="https://meteor.aihw.gov.au/RegistrationAuthority/12" TargetMode="External" Id="Ra44bc4c5253849fc" /></Relationships>
</file>

<file path=word/_rels/header1.xml.rels>&#65279;<?xml version="1.0" encoding="utf-8"?><Relationships xmlns="http://schemas.openxmlformats.org/package/2006/relationships"><Relationship Type="http://schemas.openxmlformats.org/officeDocument/2006/relationships/image" Target="/media/image.png" Id="Rd7f88d58db984379" /></Relationships>
</file>