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76e5c0370431d"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38459a84b4a06">
              <w:r>
                <w:rPr>
                  <w:rStyle w:val="Hyperlink"/>
                  <w:color w:val="244061"/>
                </w:rPr>
                <w:t xml:space="preserve">Health</w:t>
              </w:r>
            </w:hyperlink>
            <w:r>
              <w:rPr>
                <w:rStyle w:val="row-content"/>
                <w:color w:val="244061"/>
              </w:rPr>
              <w:t xml:space="preserve">, Standard 01/03/2005</w:t>
            </w:r>
          </w:p>
          <w:p>
            <w:pPr>
              <w:spacing w:before="0" w:after="0"/>
            </w:pPr>
            <w:hyperlink w:history="true" r:id="R160274f5ebb3435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 as measured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624e93effc4fbd">
              <w:r>
                <w:rPr>
                  <w:rStyle w:val="Hyperlink"/>
                </w:rPr>
                <w:t xml:space="preserve">Person—body mass index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4183d69ac44c9">
              <w:r>
                <w:rPr>
                  <w:rStyle w:val="Hyperlink"/>
                  <w:color w:val="244061"/>
                </w:rPr>
                <w:t xml:space="preserve">Health</w:t>
              </w:r>
            </w:hyperlink>
            <w:r>
              <w:rPr>
                <w:rStyle w:val="row-content"/>
                <w:color w:val="244061"/>
              </w:rPr>
              <w:t xml:space="preserve">, Standard 01/03/2005</w:t>
            </w:r>
          </w:p>
          <w:p>
            <w:pPr>
              <w:spacing w:before="0" w:after="0"/>
            </w:pPr>
            <w:hyperlink w:history="true" r:id="Rc2fe7e1b8b0d478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41e6aa77d45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72dc54ce264805">
              <w:r>
                <w:rPr>
                  <w:rStyle w:val="Hyperlink"/>
                </w:rPr>
                <w:t xml:space="preserve">Body mass index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7fac9251114c0a">
              <w:r>
                <w:rPr>
                  <w:rStyle w:val="Hyperlink"/>
                </w:rPr>
                <w:t xml:space="preserve">Body mass index category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5cbbf5046473d">
              <w:r>
                <w:rPr>
                  <w:rStyle w:val="Hyperlink"/>
                  <w:color w:val="244061"/>
                </w:rPr>
                <w:t xml:space="preserve">Health</w:t>
              </w:r>
            </w:hyperlink>
            <w:r>
              <w:rPr>
                <w:rStyle w:val="row-content"/>
                <w:color w:val="244061"/>
              </w:rPr>
              <w:t xml:space="preserve">, Standard 21/09/2005</w:t>
            </w:r>
          </w:p>
          <w:p>
            <w:pPr>
              <w:spacing w:before="0" w:after="0"/>
            </w:pPr>
            <w:hyperlink w:history="true" r:id="R33d5c8729d3f4c2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gridSpan w:val="5"/>
                  <w:vAlign w:val="top"/>
                </w:tcPr>
                <w:p>
                  <w:pPr/>
                  <w:r>
                    <w:rPr>
                      <w:rStyle w:val="row-content-rich-text"/>
                    </w:rPr>
                    <w:t xml:space="preserve">Table 1: Classification of overweight and obesity for children and adolescents</w:t>
                  </w:r>
                </w:p>
              </w:tc>
            </w:tr>
            <w:tr>
              <w:trPr/>
              <w:tc>
                <w:tcPr>
                  <w:tcW w:w="900" w:type="pct"/>
                  <w:vMerge w:val="restart"/>
                  <w:vAlign w:val="top"/>
                </w:tcPr>
                <w:p>
                  <w:r>
                    <w:t xml:space="preserve">Age(years)</w:t>
                  </w:r>
                </w:p>
              </w:tc>
              <w:tc>
                <w:tcPr>
                  <w:tcW w:w="1050" w:type="pct"/>
                  <w:gridSpan w:val="2"/>
                  <w:vAlign w:val="top"/>
                </w:tcPr>
                <w:p>
                  <w:r>
                    <w:t xml:space="preserve">BMI equivalent to 25 kg/m2</w:t>
                  </w:r>
                </w:p>
              </w:tc>
              <w:tc>
                <w:tcPr>
                  <w:tcW w:w="1050" w:type="pct"/>
                  <w:gridSpan w:val="2"/>
                  <w:vAlign w:val="top"/>
                </w:tcPr>
                <w:p>
                  <w:r>
                    <w:t xml:space="preserve">BMI equivalent to 30 kg/m2</w:t>
                  </w:r>
                </w:p>
              </w:tc>
            </w:tr>
            <w:tr>
              <w:trPr/>
              <w:tc>
                <w:tcPr>
                  <w:tcW w:w="900" w:type="pct"/>
                  <w:vMerge/>
                </w:tcPr>
                <w:p/>
              </w:tc>
              <w:tc>
                <w:tcPr>
                  <w:tcW w:w="1050" w:type="pct"/>
                  <w:vAlign w:val="top"/>
                </w:tcPr>
                <w:p>
                  <w:r>
                    <w:t xml:space="preserve">Males</w:t>
                  </w:r>
                </w:p>
              </w:tc>
              <w:tc>
                <w:tcPr>
                  <w:tcW w:w="1050" w:type="pct"/>
                  <w:vAlign w:val="top"/>
                </w:tcPr>
                <w:p>
                  <w:r>
                    <w:t xml:space="preserve">Females</w:t>
                  </w:r>
                </w:p>
              </w:tc>
              <w:tc>
                <w:tcPr>
                  <w:tcW w:w="900" w:type="pct"/>
                  <w:vAlign w:val="top"/>
                </w:tcPr>
                <w:p>
                  <w:r>
                    <w:t xml:space="preserve">Males</w:t>
                  </w:r>
                </w:p>
              </w:tc>
              <w:tc>
                <w:tcPr>
                  <w:tcW w:w="900" w:type="pct"/>
                  <w:vAlign w:val="top"/>
                </w:tcPr>
                <w:p>
                  <w:r>
                    <w:t xml:space="preserve">Females</w:t>
                  </w:r>
                </w:p>
              </w:tc>
            </w:tr>
            <w:tr>
              <w:trPr/>
              <w:tc>
                <w:tcPr>
                  <w:tcW w:w="900" w:type="pct"/>
                  <w:vAlign w:val="top"/>
                </w:tcPr>
                <w:p>
                  <w:r>
                    <w:t xml:space="preserve">2</w:t>
                  </w:r>
                </w:p>
              </w:tc>
              <w:tc>
                <w:tcPr>
                  <w:tcW w:w="1050" w:type="pct"/>
                  <w:vAlign w:val="top"/>
                </w:tcPr>
                <w:p>
                  <w:r>
                    <w:t xml:space="preserve">18.41</w:t>
                  </w:r>
                </w:p>
              </w:tc>
              <w:tc>
                <w:tcPr>
                  <w:tcW w:w="1050" w:type="pct"/>
                  <w:vAlign w:val="top"/>
                </w:tcPr>
                <w:p>
                  <w:r>
                    <w:t xml:space="preserve">18.02</w:t>
                  </w:r>
                </w:p>
              </w:tc>
              <w:tc>
                <w:tcPr>
                  <w:tcW w:w="900" w:type="pct"/>
                  <w:vAlign w:val="top"/>
                </w:tcPr>
                <w:p>
                  <w:r>
                    <w:t xml:space="preserve">20.09</w:t>
                  </w:r>
                </w:p>
              </w:tc>
              <w:tc>
                <w:tcPr>
                  <w:tcW w:w="900" w:type="pct"/>
                  <w:vAlign w:val="top"/>
                </w:tcPr>
                <w:p>
                  <w:r>
                    <w:t xml:space="preserve">19.81</w:t>
                  </w:r>
                </w:p>
              </w:tc>
            </w:tr>
            <w:tr>
              <w:trPr/>
              <w:tc>
                <w:tcPr>
                  <w:tcW w:w="900" w:type="pct"/>
                  <w:vAlign w:val="top"/>
                </w:tcPr>
                <w:p>
                  <w:r>
                    <w:t xml:space="preserve">2.5</w:t>
                  </w:r>
                </w:p>
              </w:tc>
              <w:tc>
                <w:tcPr>
                  <w:tcW w:w="1050" w:type="pct"/>
                  <w:vAlign w:val="top"/>
                </w:tcPr>
                <w:p>
                  <w:r>
                    <w:t xml:space="preserve">18.13</w:t>
                  </w:r>
                </w:p>
              </w:tc>
              <w:tc>
                <w:tcPr>
                  <w:tcW w:w="1050" w:type="pct"/>
                  <w:vAlign w:val="top"/>
                </w:tcPr>
                <w:p>
                  <w:r>
                    <w:t xml:space="preserve">17.76</w:t>
                  </w:r>
                </w:p>
              </w:tc>
              <w:tc>
                <w:tcPr>
                  <w:tcW w:w="900" w:type="pct"/>
                  <w:vAlign w:val="top"/>
                </w:tcPr>
                <w:p>
                  <w:r>
                    <w:t xml:space="preserve">19.80</w:t>
                  </w:r>
                </w:p>
              </w:tc>
              <w:tc>
                <w:tcPr>
                  <w:tcW w:w="900" w:type="pct"/>
                  <w:vAlign w:val="top"/>
                </w:tcPr>
                <w:p>
                  <w:r>
                    <w:t xml:space="preserve">19.55</w:t>
                  </w:r>
                </w:p>
              </w:tc>
            </w:tr>
            <w:tr>
              <w:trPr/>
              <w:tc>
                <w:tcPr>
                  <w:tcW w:w="900" w:type="pct"/>
                  <w:vAlign w:val="top"/>
                </w:tcPr>
                <w:p>
                  <w:r>
                    <w:t xml:space="preserve">3</w:t>
                  </w:r>
                </w:p>
              </w:tc>
              <w:tc>
                <w:tcPr>
                  <w:tcW w:w="1050" w:type="pct"/>
                  <w:vAlign w:val="top"/>
                </w:tcPr>
                <w:p>
                  <w:r>
                    <w:t xml:space="preserve">17.89</w:t>
                  </w:r>
                </w:p>
              </w:tc>
              <w:tc>
                <w:tcPr>
                  <w:tcW w:w="1050" w:type="pct"/>
                  <w:vAlign w:val="top"/>
                </w:tcPr>
                <w:p>
                  <w:r>
                    <w:t xml:space="preserve">17.56</w:t>
                  </w:r>
                </w:p>
              </w:tc>
              <w:tc>
                <w:tcPr>
                  <w:tcW w:w="900" w:type="pct"/>
                  <w:vAlign w:val="top"/>
                </w:tcPr>
                <w:p>
                  <w:r>
                    <w:t xml:space="preserve">19.57</w:t>
                  </w:r>
                </w:p>
              </w:tc>
              <w:tc>
                <w:tcPr>
                  <w:tcW w:w="900" w:type="pct"/>
                  <w:vAlign w:val="top"/>
                </w:tcPr>
                <w:p>
                  <w:r>
                    <w:t xml:space="preserve">19.36</w:t>
                  </w:r>
                </w:p>
              </w:tc>
            </w:tr>
            <w:tr>
              <w:trPr/>
              <w:tc>
                <w:tcPr>
                  <w:tcW w:w="900" w:type="pct"/>
                  <w:vAlign w:val="top"/>
                </w:tcPr>
                <w:p>
                  <w:r>
                    <w:t xml:space="preserve">3.5</w:t>
                  </w:r>
                </w:p>
              </w:tc>
              <w:tc>
                <w:tcPr>
                  <w:tcW w:w="1050" w:type="pct"/>
                  <w:vAlign w:val="top"/>
                </w:tcPr>
                <w:p>
                  <w:r>
                    <w:t xml:space="preserve">17.69</w:t>
                  </w:r>
                </w:p>
              </w:tc>
              <w:tc>
                <w:tcPr>
                  <w:tcW w:w="1050" w:type="pct"/>
                  <w:vAlign w:val="top"/>
                </w:tcPr>
                <w:p>
                  <w:r>
                    <w:t xml:space="preserve">17.40</w:t>
                  </w:r>
                </w:p>
              </w:tc>
              <w:tc>
                <w:tcPr>
                  <w:tcW w:w="900" w:type="pct"/>
                  <w:vAlign w:val="top"/>
                </w:tcPr>
                <w:p>
                  <w:r>
                    <w:t xml:space="preserve">19.39</w:t>
                  </w:r>
                </w:p>
              </w:tc>
              <w:tc>
                <w:tcPr>
                  <w:tcW w:w="900" w:type="pct"/>
                  <w:vAlign w:val="top"/>
                </w:tcPr>
                <w:p>
                  <w:r>
                    <w:t xml:space="preserve">19.23</w:t>
                  </w:r>
                </w:p>
              </w:tc>
            </w:tr>
            <w:tr>
              <w:trPr/>
              <w:tc>
                <w:tcPr>
                  <w:tcW w:w="900" w:type="pct"/>
                  <w:vAlign w:val="top"/>
                </w:tcPr>
                <w:p>
                  <w:r>
                    <w:t xml:space="preserve">4</w:t>
                  </w:r>
                </w:p>
              </w:tc>
              <w:tc>
                <w:tcPr>
                  <w:tcW w:w="1050" w:type="pct"/>
                  <w:vAlign w:val="top"/>
                </w:tcPr>
                <w:p>
                  <w:r>
                    <w:t xml:space="preserve">17.55</w:t>
                  </w:r>
                </w:p>
              </w:tc>
              <w:tc>
                <w:tcPr>
                  <w:tcW w:w="1050" w:type="pct"/>
                  <w:vAlign w:val="top"/>
                </w:tcPr>
                <w:p>
                  <w:r>
                    <w:t xml:space="preserve">17.28</w:t>
                  </w:r>
                </w:p>
              </w:tc>
              <w:tc>
                <w:tcPr>
                  <w:tcW w:w="900" w:type="pct"/>
                  <w:vAlign w:val="top"/>
                </w:tcPr>
                <w:p>
                  <w:r>
                    <w:t xml:space="preserve">19.29</w:t>
                  </w:r>
                </w:p>
              </w:tc>
              <w:tc>
                <w:tcPr>
                  <w:tcW w:w="900" w:type="pct"/>
                  <w:vAlign w:val="top"/>
                </w:tcPr>
                <w:p>
                  <w:r>
                    <w:t xml:space="preserve">19.15</w:t>
                  </w:r>
                </w:p>
              </w:tc>
            </w:tr>
            <w:tr>
              <w:trPr/>
              <w:tc>
                <w:tcPr>
                  <w:tcW w:w="900" w:type="pct"/>
                  <w:vAlign w:val="top"/>
                </w:tcPr>
                <w:p>
                  <w:r>
                    <w:t xml:space="preserve">4.5</w:t>
                  </w:r>
                </w:p>
              </w:tc>
              <w:tc>
                <w:tcPr>
                  <w:tcW w:w="1050" w:type="pct"/>
                  <w:vAlign w:val="top"/>
                </w:tcPr>
                <w:p>
                  <w:r>
                    <w:t xml:space="preserve">17.47</w:t>
                  </w:r>
                </w:p>
              </w:tc>
              <w:tc>
                <w:tcPr>
                  <w:tcW w:w="1050" w:type="pct"/>
                  <w:vAlign w:val="top"/>
                </w:tcPr>
                <w:p>
                  <w:r>
                    <w:t xml:space="preserve">17.19</w:t>
                  </w:r>
                </w:p>
              </w:tc>
              <w:tc>
                <w:tcPr>
                  <w:tcW w:w="900" w:type="pct"/>
                  <w:vAlign w:val="top"/>
                </w:tcPr>
                <w:p>
                  <w:r>
                    <w:t xml:space="preserve">19.26</w:t>
                  </w:r>
                </w:p>
              </w:tc>
              <w:tc>
                <w:tcPr>
                  <w:tcW w:w="900" w:type="pct"/>
                  <w:vAlign w:val="top"/>
                </w:tcPr>
                <w:p>
                  <w:r>
                    <w:t xml:space="preserve">19.12</w:t>
                  </w:r>
                </w:p>
              </w:tc>
            </w:tr>
            <w:tr>
              <w:trPr/>
              <w:tc>
                <w:tcPr>
                  <w:tcW w:w="900" w:type="pct"/>
                  <w:vAlign w:val="top"/>
                </w:tcPr>
                <w:p>
                  <w:r>
                    <w:t xml:space="preserve">5</w:t>
                  </w:r>
                </w:p>
              </w:tc>
              <w:tc>
                <w:tcPr>
                  <w:tcW w:w="1050" w:type="pct"/>
                  <w:vAlign w:val="top"/>
                </w:tcPr>
                <w:p>
                  <w:r>
                    <w:t xml:space="preserve">17.42</w:t>
                  </w:r>
                </w:p>
              </w:tc>
              <w:tc>
                <w:tcPr>
                  <w:tcW w:w="1050" w:type="pct"/>
                  <w:vAlign w:val="top"/>
                </w:tcPr>
                <w:p>
                  <w:r>
                    <w:t xml:space="preserve">17.15</w:t>
                  </w:r>
                </w:p>
              </w:tc>
              <w:tc>
                <w:tcPr>
                  <w:tcW w:w="900" w:type="pct"/>
                  <w:vAlign w:val="top"/>
                </w:tcPr>
                <w:p>
                  <w:r>
                    <w:t xml:space="preserve">19.30</w:t>
                  </w:r>
                </w:p>
              </w:tc>
              <w:tc>
                <w:tcPr>
                  <w:tcW w:w="900" w:type="pct"/>
                  <w:vAlign w:val="top"/>
                </w:tcPr>
                <w:p>
                  <w:r>
                    <w:t xml:space="preserve">19.17</w:t>
                  </w:r>
                </w:p>
              </w:tc>
            </w:tr>
            <w:tr>
              <w:trPr/>
              <w:tc>
                <w:tcPr>
                  <w:tcW w:w="900" w:type="pct"/>
                  <w:vAlign w:val="top"/>
                </w:tcPr>
                <w:p>
                  <w:r>
                    <w:t xml:space="preserve">5.5</w:t>
                  </w:r>
                </w:p>
              </w:tc>
              <w:tc>
                <w:tcPr>
                  <w:tcW w:w="1050" w:type="pct"/>
                  <w:vAlign w:val="top"/>
                </w:tcPr>
                <w:p>
                  <w:r>
                    <w:t xml:space="preserve">17.45</w:t>
                  </w:r>
                </w:p>
              </w:tc>
              <w:tc>
                <w:tcPr>
                  <w:tcW w:w="1050" w:type="pct"/>
                  <w:vAlign w:val="top"/>
                </w:tcPr>
                <w:p>
                  <w:r>
                    <w:t xml:space="preserve">17.20</w:t>
                  </w:r>
                </w:p>
              </w:tc>
              <w:tc>
                <w:tcPr>
                  <w:tcW w:w="900" w:type="pct"/>
                  <w:vAlign w:val="top"/>
                </w:tcPr>
                <w:p>
                  <w:r>
                    <w:t xml:space="preserve">19.47</w:t>
                  </w:r>
                </w:p>
              </w:tc>
              <w:tc>
                <w:tcPr>
                  <w:tcW w:w="900" w:type="pct"/>
                  <w:vAlign w:val="top"/>
                </w:tcPr>
                <w:p>
                  <w:r>
                    <w:t xml:space="preserve">19.34</w:t>
                  </w:r>
                </w:p>
              </w:tc>
            </w:tr>
            <w:tr>
              <w:trPr/>
              <w:tc>
                <w:tcPr>
                  <w:tcW w:w="900" w:type="pct"/>
                  <w:vAlign w:val="top"/>
                </w:tcPr>
                <w:p>
                  <w:r>
                    <w:t xml:space="preserve">6</w:t>
                  </w:r>
                </w:p>
              </w:tc>
              <w:tc>
                <w:tcPr>
                  <w:tcW w:w="1050" w:type="pct"/>
                  <w:vAlign w:val="top"/>
                </w:tcPr>
                <w:p>
                  <w:r>
                    <w:t xml:space="preserve">17.55</w:t>
                  </w:r>
                </w:p>
              </w:tc>
              <w:tc>
                <w:tcPr>
                  <w:tcW w:w="1050" w:type="pct"/>
                  <w:vAlign w:val="top"/>
                </w:tcPr>
                <w:p>
                  <w:r>
                    <w:t xml:space="preserve">17.34</w:t>
                  </w:r>
                </w:p>
              </w:tc>
              <w:tc>
                <w:tcPr>
                  <w:tcW w:w="900" w:type="pct"/>
                  <w:vAlign w:val="top"/>
                </w:tcPr>
                <w:p>
                  <w:r>
                    <w:t xml:space="preserve">19.78</w:t>
                  </w:r>
                </w:p>
              </w:tc>
              <w:tc>
                <w:tcPr>
                  <w:tcW w:w="900" w:type="pct"/>
                  <w:vAlign w:val="top"/>
                </w:tcPr>
                <w:p>
                  <w:r>
                    <w:t xml:space="preserve">19.65</w:t>
                  </w:r>
                </w:p>
              </w:tc>
            </w:tr>
            <w:tr>
              <w:trPr/>
              <w:tc>
                <w:tcPr>
                  <w:tcW w:w="900" w:type="pct"/>
                  <w:vAlign w:val="top"/>
                </w:tcPr>
                <w:p>
                  <w:r>
                    <w:t xml:space="preserve">6.5</w:t>
                  </w:r>
                </w:p>
              </w:tc>
              <w:tc>
                <w:tcPr>
                  <w:tcW w:w="1050" w:type="pct"/>
                  <w:vAlign w:val="top"/>
                </w:tcPr>
                <w:p>
                  <w:r>
                    <w:t xml:space="preserve">17.71</w:t>
                  </w:r>
                </w:p>
              </w:tc>
              <w:tc>
                <w:tcPr>
                  <w:tcW w:w="1050" w:type="pct"/>
                  <w:vAlign w:val="top"/>
                </w:tcPr>
                <w:p>
                  <w:r>
                    <w:t xml:space="preserve">17.53</w:t>
                  </w:r>
                </w:p>
              </w:tc>
              <w:tc>
                <w:tcPr>
                  <w:tcW w:w="900" w:type="pct"/>
                  <w:vAlign w:val="top"/>
                </w:tcPr>
                <w:p>
                  <w:r>
                    <w:t xml:space="preserve">20.23</w:t>
                  </w:r>
                </w:p>
              </w:tc>
              <w:tc>
                <w:tcPr>
                  <w:tcW w:w="900" w:type="pct"/>
                  <w:vAlign w:val="top"/>
                </w:tcPr>
                <w:p>
                  <w:r>
                    <w:t xml:space="preserve">20.08</w:t>
                  </w:r>
                </w:p>
              </w:tc>
            </w:tr>
            <w:tr>
              <w:trPr/>
              <w:tc>
                <w:tcPr>
                  <w:tcW w:w="900" w:type="pct"/>
                  <w:vAlign w:val="top"/>
                </w:tcPr>
                <w:p>
                  <w:r>
                    <w:t xml:space="preserve">7</w:t>
                  </w:r>
                </w:p>
              </w:tc>
              <w:tc>
                <w:tcPr>
                  <w:tcW w:w="1050" w:type="pct"/>
                  <w:vAlign w:val="top"/>
                </w:tcPr>
                <w:p>
                  <w:r>
                    <w:t xml:space="preserve">17.92</w:t>
                  </w:r>
                </w:p>
              </w:tc>
              <w:tc>
                <w:tcPr>
                  <w:tcW w:w="1050" w:type="pct"/>
                  <w:vAlign w:val="top"/>
                </w:tcPr>
                <w:p>
                  <w:r>
                    <w:t xml:space="preserve">17.75</w:t>
                  </w:r>
                </w:p>
              </w:tc>
              <w:tc>
                <w:tcPr>
                  <w:tcW w:w="900" w:type="pct"/>
                  <w:vAlign w:val="top"/>
                </w:tcPr>
                <w:p>
                  <w:r>
                    <w:t xml:space="preserve">20.63</w:t>
                  </w:r>
                </w:p>
              </w:tc>
              <w:tc>
                <w:tcPr>
                  <w:tcW w:w="900" w:type="pct"/>
                  <w:vAlign w:val="top"/>
                </w:tcPr>
                <w:p>
                  <w:r>
                    <w:t xml:space="preserve">20.51</w:t>
                  </w:r>
                </w:p>
              </w:tc>
            </w:tr>
            <w:tr>
              <w:trPr/>
              <w:tc>
                <w:tcPr>
                  <w:tcW w:w="900" w:type="pct"/>
                  <w:vAlign w:val="top"/>
                </w:tcPr>
                <w:p>
                  <w:r>
                    <w:t xml:space="preserve">7.5</w:t>
                  </w:r>
                </w:p>
              </w:tc>
              <w:tc>
                <w:tcPr>
                  <w:tcW w:w="1050" w:type="pct"/>
                  <w:vAlign w:val="top"/>
                </w:tcPr>
                <w:p>
                  <w:r>
                    <w:t xml:space="preserve">18.16</w:t>
                  </w:r>
                </w:p>
              </w:tc>
              <w:tc>
                <w:tcPr>
                  <w:tcW w:w="1050" w:type="pct"/>
                  <w:vAlign w:val="top"/>
                </w:tcPr>
                <w:p>
                  <w:r>
                    <w:t xml:space="preserve">18.03</w:t>
                  </w:r>
                </w:p>
              </w:tc>
              <w:tc>
                <w:tcPr>
                  <w:tcW w:w="900" w:type="pct"/>
                  <w:vAlign w:val="top"/>
                </w:tcPr>
                <w:p>
                  <w:r>
                    <w:t xml:space="preserve">21.09</w:t>
                  </w:r>
                </w:p>
              </w:tc>
              <w:tc>
                <w:tcPr>
                  <w:tcW w:w="900" w:type="pct"/>
                  <w:vAlign w:val="top"/>
                </w:tcPr>
                <w:p>
                  <w:r>
                    <w:t xml:space="preserve">21.01</w:t>
                  </w:r>
                </w:p>
              </w:tc>
            </w:tr>
            <w:tr>
              <w:trPr/>
              <w:tc>
                <w:tcPr>
                  <w:tcW w:w="900" w:type="pct"/>
                  <w:vAlign w:val="top"/>
                </w:tcPr>
                <w:p>
                  <w:r>
                    <w:t xml:space="preserve">8</w:t>
                  </w:r>
                </w:p>
              </w:tc>
              <w:tc>
                <w:tcPr>
                  <w:tcW w:w="1050" w:type="pct"/>
                  <w:vAlign w:val="top"/>
                </w:tcPr>
                <w:p>
                  <w:r>
                    <w:t xml:space="preserve">18.44</w:t>
                  </w:r>
                </w:p>
              </w:tc>
              <w:tc>
                <w:tcPr>
                  <w:tcW w:w="1050" w:type="pct"/>
                  <w:vAlign w:val="top"/>
                </w:tcPr>
                <w:p>
                  <w:r>
                    <w:t xml:space="preserve">18.35</w:t>
                  </w:r>
                </w:p>
              </w:tc>
              <w:tc>
                <w:tcPr>
                  <w:tcW w:w="900" w:type="pct"/>
                  <w:vAlign w:val="top"/>
                </w:tcPr>
                <w:p>
                  <w:r>
                    <w:t xml:space="preserve">21.60</w:t>
                  </w:r>
                </w:p>
              </w:tc>
              <w:tc>
                <w:tcPr>
                  <w:tcW w:w="900" w:type="pct"/>
                  <w:vAlign w:val="top"/>
                </w:tcPr>
                <w:p>
                  <w:r>
                    <w:t xml:space="preserve">21.57</w:t>
                  </w:r>
                </w:p>
              </w:tc>
            </w:tr>
            <w:tr>
              <w:trPr/>
              <w:tc>
                <w:tcPr>
                  <w:tcW w:w="900" w:type="pct"/>
                  <w:vAlign w:val="top"/>
                </w:tcPr>
                <w:p>
                  <w:r>
                    <w:t xml:space="preserve">8.5</w:t>
                  </w:r>
                </w:p>
              </w:tc>
              <w:tc>
                <w:tcPr>
                  <w:tcW w:w="1050" w:type="pct"/>
                  <w:vAlign w:val="top"/>
                </w:tcPr>
                <w:p>
                  <w:r>
                    <w:t xml:space="preserve">18.76</w:t>
                  </w:r>
                </w:p>
              </w:tc>
              <w:tc>
                <w:tcPr>
                  <w:tcW w:w="1050" w:type="pct"/>
                  <w:vAlign w:val="top"/>
                </w:tcPr>
                <w:p>
                  <w:r>
                    <w:t xml:space="preserve">18.69</w:t>
                  </w:r>
                </w:p>
              </w:tc>
              <w:tc>
                <w:tcPr>
                  <w:tcW w:w="900" w:type="pct"/>
                  <w:vAlign w:val="top"/>
                </w:tcPr>
                <w:p>
                  <w:r>
                    <w:t xml:space="preserve">22.17</w:t>
                  </w:r>
                </w:p>
              </w:tc>
              <w:tc>
                <w:tcPr>
                  <w:tcW w:w="900" w:type="pct"/>
                  <w:vAlign w:val="top"/>
                </w:tcPr>
                <w:p>
                  <w:r>
                    <w:t xml:space="preserve">22.18</w:t>
                  </w:r>
                </w:p>
              </w:tc>
            </w:tr>
            <w:tr>
              <w:trPr/>
              <w:tc>
                <w:tcPr>
                  <w:tcW w:w="900" w:type="pct"/>
                  <w:vAlign w:val="top"/>
                </w:tcPr>
                <w:p>
                  <w:r>
                    <w:t xml:space="preserve">9</w:t>
                  </w:r>
                </w:p>
              </w:tc>
              <w:tc>
                <w:tcPr>
                  <w:tcW w:w="1050" w:type="pct"/>
                  <w:vAlign w:val="top"/>
                </w:tcPr>
                <w:p>
                  <w:r>
                    <w:t xml:space="preserve">19.10</w:t>
                  </w:r>
                </w:p>
              </w:tc>
              <w:tc>
                <w:tcPr>
                  <w:tcW w:w="1050" w:type="pct"/>
                  <w:vAlign w:val="top"/>
                </w:tcPr>
                <w:p>
                  <w:r>
                    <w:t xml:space="preserve">19.07</w:t>
                  </w:r>
                </w:p>
              </w:tc>
              <w:tc>
                <w:tcPr>
                  <w:tcW w:w="900" w:type="pct"/>
                  <w:vAlign w:val="top"/>
                </w:tcPr>
                <w:p>
                  <w:r>
                    <w:t xml:space="preserve">22.77</w:t>
                  </w:r>
                </w:p>
              </w:tc>
              <w:tc>
                <w:tcPr>
                  <w:tcW w:w="900" w:type="pct"/>
                  <w:vAlign w:val="top"/>
                </w:tcPr>
                <w:p>
                  <w:r>
                    <w:t xml:space="preserve">22.81</w:t>
                  </w:r>
                </w:p>
              </w:tc>
            </w:tr>
            <w:tr>
              <w:trPr/>
              <w:tc>
                <w:tcPr>
                  <w:tcW w:w="900" w:type="pct"/>
                  <w:vAlign w:val="top"/>
                </w:tcPr>
                <w:p>
                  <w:r>
                    <w:t xml:space="preserve">9.5</w:t>
                  </w:r>
                </w:p>
              </w:tc>
              <w:tc>
                <w:tcPr>
                  <w:tcW w:w="1050" w:type="pct"/>
                  <w:vAlign w:val="top"/>
                </w:tcPr>
                <w:p>
                  <w:r>
                    <w:t xml:space="preserve">19.46</w:t>
                  </w:r>
                </w:p>
              </w:tc>
              <w:tc>
                <w:tcPr>
                  <w:tcW w:w="1050" w:type="pct"/>
                  <w:vAlign w:val="top"/>
                </w:tcPr>
                <w:p>
                  <w:r>
                    <w:t xml:space="preserve">19.45</w:t>
                  </w:r>
                </w:p>
              </w:tc>
              <w:tc>
                <w:tcPr>
                  <w:tcW w:w="900" w:type="pct"/>
                  <w:vAlign w:val="top"/>
                </w:tcPr>
                <w:p>
                  <w:r>
                    <w:t xml:space="preserve">23.39</w:t>
                  </w:r>
                </w:p>
              </w:tc>
              <w:tc>
                <w:tcPr>
                  <w:tcW w:w="900" w:type="pct"/>
                  <w:vAlign w:val="top"/>
                </w:tcPr>
                <w:p>
                  <w:r>
                    <w:t xml:space="preserve">23.46</w:t>
                  </w:r>
                </w:p>
              </w:tc>
            </w:tr>
            <w:tr>
              <w:trPr/>
              <w:tc>
                <w:tcPr>
                  <w:tcW w:w="900" w:type="pct"/>
                  <w:vAlign w:val="top"/>
                </w:tcPr>
                <w:p>
                  <w:r>
                    <w:t xml:space="preserve">10</w:t>
                  </w:r>
                </w:p>
              </w:tc>
              <w:tc>
                <w:tcPr>
                  <w:tcW w:w="1050" w:type="pct"/>
                  <w:vAlign w:val="top"/>
                </w:tcPr>
                <w:p>
                  <w:r>
                    <w:t xml:space="preserve">19.84</w:t>
                  </w:r>
                </w:p>
              </w:tc>
              <w:tc>
                <w:tcPr>
                  <w:tcW w:w="1050" w:type="pct"/>
                  <w:vAlign w:val="top"/>
                </w:tcPr>
                <w:p>
                  <w:r>
                    <w:t xml:space="preserve">19.86</w:t>
                  </w:r>
                </w:p>
              </w:tc>
              <w:tc>
                <w:tcPr>
                  <w:tcW w:w="900" w:type="pct"/>
                  <w:vAlign w:val="top"/>
                </w:tcPr>
                <w:p>
                  <w:r>
                    <w:t xml:space="preserve">24.00</w:t>
                  </w:r>
                </w:p>
              </w:tc>
              <w:tc>
                <w:tcPr>
                  <w:tcW w:w="900" w:type="pct"/>
                  <w:vAlign w:val="top"/>
                </w:tcPr>
                <w:p>
                  <w:r>
                    <w:t xml:space="preserve">24.11</w:t>
                  </w:r>
                </w:p>
              </w:tc>
            </w:tr>
            <w:tr>
              <w:trPr/>
              <w:tc>
                <w:tcPr>
                  <w:tcW w:w="900" w:type="pct"/>
                  <w:vAlign w:val="top"/>
                </w:tcPr>
                <w:p>
                  <w:r>
                    <w:t xml:space="preserve">10.5</w:t>
                  </w:r>
                </w:p>
              </w:tc>
              <w:tc>
                <w:tcPr>
                  <w:tcW w:w="1050" w:type="pct"/>
                  <w:vAlign w:val="top"/>
                </w:tcPr>
                <w:p>
                  <w:r>
                    <w:t xml:space="preserve">20.20</w:t>
                  </w:r>
                </w:p>
              </w:tc>
              <w:tc>
                <w:tcPr>
                  <w:tcW w:w="1050" w:type="pct"/>
                  <w:vAlign w:val="top"/>
                </w:tcPr>
                <w:p>
                  <w:r>
                    <w:t xml:space="preserve">20.29</w:t>
                  </w:r>
                </w:p>
              </w:tc>
              <w:tc>
                <w:tcPr>
                  <w:tcW w:w="900" w:type="pct"/>
                  <w:vAlign w:val="top"/>
                </w:tcPr>
                <w:p>
                  <w:r>
                    <w:t xml:space="preserve">24.57</w:t>
                  </w:r>
                </w:p>
              </w:tc>
              <w:tc>
                <w:tcPr>
                  <w:tcW w:w="900" w:type="pct"/>
                  <w:vAlign w:val="top"/>
                </w:tcPr>
                <w:p>
                  <w:r>
                    <w:t xml:space="preserve">24.77</w:t>
                  </w:r>
                </w:p>
              </w:tc>
            </w:tr>
            <w:tr>
              <w:trPr/>
              <w:tc>
                <w:tcPr>
                  <w:tcW w:w="900" w:type="pct"/>
                  <w:vAlign w:val="top"/>
                </w:tcPr>
                <w:p>
                  <w:r>
                    <w:t xml:space="preserve">11</w:t>
                  </w:r>
                </w:p>
              </w:tc>
              <w:tc>
                <w:tcPr>
                  <w:tcW w:w="1050" w:type="pct"/>
                  <w:vAlign w:val="top"/>
                </w:tcPr>
                <w:p>
                  <w:r>
                    <w:t xml:space="preserve">20.55</w:t>
                  </w:r>
                </w:p>
              </w:tc>
              <w:tc>
                <w:tcPr>
                  <w:tcW w:w="1050" w:type="pct"/>
                  <w:vAlign w:val="top"/>
                </w:tcPr>
                <w:p>
                  <w:r>
                    <w:t xml:space="preserve">20.74</w:t>
                  </w:r>
                </w:p>
              </w:tc>
              <w:tc>
                <w:tcPr>
                  <w:tcW w:w="900" w:type="pct"/>
                  <w:vAlign w:val="top"/>
                </w:tcPr>
                <w:p>
                  <w:r>
                    <w:t xml:space="preserve">25.10</w:t>
                  </w:r>
                </w:p>
              </w:tc>
              <w:tc>
                <w:tcPr>
                  <w:tcW w:w="900" w:type="pct"/>
                  <w:vAlign w:val="top"/>
                </w:tcPr>
                <w:p>
                  <w:r>
                    <w:t xml:space="preserve">25.42</w:t>
                  </w:r>
                </w:p>
              </w:tc>
            </w:tr>
            <w:tr>
              <w:trPr/>
              <w:tc>
                <w:tcPr>
                  <w:tcW w:w="900" w:type="pct"/>
                  <w:vAlign w:val="top"/>
                </w:tcPr>
                <w:p>
                  <w:r>
                    <w:t xml:space="preserve">11.5</w:t>
                  </w:r>
                </w:p>
              </w:tc>
              <w:tc>
                <w:tcPr>
                  <w:tcW w:w="1050" w:type="pct"/>
                  <w:vAlign w:val="top"/>
                </w:tcPr>
                <w:p>
                  <w:r>
                    <w:t xml:space="preserve">20.89</w:t>
                  </w:r>
                </w:p>
              </w:tc>
              <w:tc>
                <w:tcPr>
                  <w:tcW w:w="1050" w:type="pct"/>
                  <w:vAlign w:val="top"/>
                </w:tcPr>
                <w:p>
                  <w:r>
                    <w:t xml:space="preserve">21.20</w:t>
                  </w:r>
                </w:p>
              </w:tc>
              <w:tc>
                <w:tcPr>
                  <w:tcW w:w="900" w:type="pct"/>
                  <w:vAlign w:val="top"/>
                </w:tcPr>
                <w:p>
                  <w:r>
                    <w:t xml:space="preserve">25.58</w:t>
                  </w:r>
                </w:p>
              </w:tc>
              <w:tc>
                <w:tcPr>
                  <w:tcW w:w="900" w:type="pct"/>
                  <w:vAlign w:val="top"/>
                </w:tcPr>
                <w:p>
                  <w:r>
                    <w:t xml:space="preserve">26.05</w:t>
                  </w:r>
                </w:p>
              </w:tc>
            </w:tr>
            <w:tr>
              <w:trPr/>
              <w:tc>
                <w:tcPr>
                  <w:tcW w:w="900" w:type="pct"/>
                  <w:vAlign w:val="top"/>
                </w:tcPr>
                <w:p>
                  <w:r>
                    <w:t xml:space="preserve">12</w:t>
                  </w:r>
                </w:p>
              </w:tc>
              <w:tc>
                <w:tcPr>
                  <w:tcW w:w="1050" w:type="pct"/>
                  <w:vAlign w:val="top"/>
                </w:tcPr>
                <w:p>
                  <w:r>
                    <w:t xml:space="preserve">21.22</w:t>
                  </w:r>
                </w:p>
              </w:tc>
              <w:tc>
                <w:tcPr>
                  <w:tcW w:w="1050" w:type="pct"/>
                  <w:vAlign w:val="top"/>
                </w:tcPr>
                <w:p>
                  <w:r>
                    <w:t xml:space="preserve">21.68</w:t>
                  </w:r>
                </w:p>
              </w:tc>
              <w:tc>
                <w:tcPr>
                  <w:tcW w:w="900" w:type="pct"/>
                  <w:vAlign w:val="top"/>
                </w:tcPr>
                <w:p>
                  <w:r>
                    <w:t xml:space="preserve">26.02</w:t>
                  </w:r>
                </w:p>
              </w:tc>
              <w:tc>
                <w:tcPr>
                  <w:tcW w:w="900" w:type="pct"/>
                  <w:vAlign w:val="top"/>
                </w:tcPr>
                <w:p>
                  <w:r>
                    <w:t xml:space="preserve">26.67</w:t>
                  </w:r>
                </w:p>
              </w:tc>
            </w:tr>
            <w:tr>
              <w:trPr/>
              <w:tc>
                <w:tcPr>
                  <w:tcW w:w="900" w:type="pct"/>
                  <w:vAlign w:val="top"/>
                </w:tcPr>
                <w:p>
                  <w:r>
                    <w:t xml:space="preserve">12.5</w:t>
                  </w:r>
                </w:p>
              </w:tc>
              <w:tc>
                <w:tcPr>
                  <w:tcW w:w="1050" w:type="pct"/>
                  <w:vAlign w:val="top"/>
                </w:tcPr>
                <w:p>
                  <w:r>
                    <w:t xml:space="preserve">21.56</w:t>
                  </w:r>
                </w:p>
              </w:tc>
              <w:tc>
                <w:tcPr>
                  <w:tcW w:w="1050" w:type="pct"/>
                  <w:vAlign w:val="top"/>
                </w:tcPr>
                <w:p>
                  <w:r>
                    <w:t xml:space="preserve">22.14</w:t>
                  </w:r>
                </w:p>
              </w:tc>
              <w:tc>
                <w:tcPr>
                  <w:tcW w:w="900" w:type="pct"/>
                  <w:vAlign w:val="top"/>
                </w:tcPr>
                <w:p>
                  <w:r>
                    <w:t xml:space="preserve">26.43</w:t>
                  </w:r>
                </w:p>
              </w:tc>
              <w:tc>
                <w:tcPr>
                  <w:tcW w:w="900" w:type="pct"/>
                  <w:vAlign w:val="top"/>
                </w:tcPr>
                <w:p>
                  <w:r>
                    <w:t xml:space="preserve">27.24</w:t>
                  </w:r>
                </w:p>
              </w:tc>
            </w:tr>
            <w:tr>
              <w:trPr/>
              <w:tc>
                <w:tcPr>
                  <w:tcW w:w="900" w:type="pct"/>
                  <w:vAlign w:val="top"/>
                </w:tcPr>
                <w:p>
                  <w:r>
                    <w:t xml:space="preserve">13</w:t>
                  </w:r>
                </w:p>
              </w:tc>
              <w:tc>
                <w:tcPr>
                  <w:tcW w:w="1050" w:type="pct"/>
                  <w:vAlign w:val="top"/>
                </w:tcPr>
                <w:p>
                  <w:r>
                    <w:t xml:space="preserve">21.91</w:t>
                  </w:r>
                </w:p>
              </w:tc>
              <w:tc>
                <w:tcPr>
                  <w:tcW w:w="1050" w:type="pct"/>
                  <w:vAlign w:val="top"/>
                </w:tcPr>
                <w:p>
                  <w:r>
                    <w:t xml:space="preserve">22.58</w:t>
                  </w:r>
                </w:p>
              </w:tc>
              <w:tc>
                <w:tcPr>
                  <w:tcW w:w="900" w:type="pct"/>
                  <w:vAlign w:val="top"/>
                </w:tcPr>
                <w:p>
                  <w:r>
                    <w:t xml:space="preserve">26.84</w:t>
                  </w:r>
                </w:p>
              </w:tc>
              <w:tc>
                <w:tcPr>
                  <w:tcW w:w="900" w:type="pct"/>
                  <w:vAlign w:val="top"/>
                </w:tcPr>
                <w:p>
                  <w:r>
                    <w:t xml:space="preserve">27.76</w:t>
                  </w:r>
                </w:p>
              </w:tc>
            </w:tr>
            <w:tr>
              <w:trPr/>
              <w:tc>
                <w:tcPr>
                  <w:tcW w:w="900" w:type="pct"/>
                  <w:vAlign w:val="top"/>
                </w:tcPr>
                <w:p>
                  <w:r>
                    <w:t xml:space="preserve">13.5</w:t>
                  </w:r>
                </w:p>
              </w:tc>
              <w:tc>
                <w:tcPr>
                  <w:tcW w:w="1050" w:type="pct"/>
                  <w:vAlign w:val="top"/>
                </w:tcPr>
                <w:p>
                  <w:r>
                    <w:t xml:space="preserve">22.27</w:t>
                  </w:r>
                </w:p>
              </w:tc>
              <w:tc>
                <w:tcPr>
                  <w:tcW w:w="1050" w:type="pct"/>
                  <w:vAlign w:val="top"/>
                </w:tcPr>
                <w:p>
                  <w:r>
                    <w:t xml:space="preserve">22.98</w:t>
                  </w:r>
                </w:p>
              </w:tc>
              <w:tc>
                <w:tcPr>
                  <w:tcW w:w="900" w:type="pct"/>
                  <w:vAlign w:val="top"/>
                </w:tcPr>
                <w:p>
                  <w:r>
                    <w:t xml:space="preserve">27.25</w:t>
                  </w:r>
                </w:p>
              </w:tc>
              <w:tc>
                <w:tcPr>
                  <w:tcW w:w="900" w:type="pct"/>
                  <w:vAlign w:val="top"/>
                </w:tcPr>
                <w:p>
                  <w:r>
                    <w:t xml:space="preserve">28.20</w:t>
                  </w:r>
                </w:p>
              </w:tc>
            </w:tr>
            <w:tr>
              <w:trPr/>
              <w:tc>
                <w:tcPr>
                  <w:tcW w:w="900" w:type="pct"/>
                  <w:vAlign w:val="top"/>
                </w:tcPr>
                <w:p>
                  <w:r>
                    <w:t xml:space="preserve">14</w:t>
                  </w:r>
                </w:p>
              </w:tc>
              <w:tc>
                <w:tcPr>
                  <w:tcW w:w="1050" w:type="pct"/>
                  <w:vAlign w:val="top"/>
                </w:tcPr>
                <w:p>
                  <w:r>
                    <w:t xml:space="preserve">22.62</w:t>
                  </w:r>
                </w:p>
              </w:tc>
              <w:tc>
                <w:tcPr>
                  <w:tcW w:w="1050" w:type="pct"/>
                  <w:vAlign w:val="top"/>
                </w:tcPr>
                <w:p>
                  <w:r>
                    <w:t xml:space="preserve">23.34</w:t>
                  </w:r>
                </w:p>
              </w:tc>
              <w:tc>
                <w:tcPr>
                  <w:tcW w:w="900" w:type="pct"/>
                  <w:vAlign w:val="top"/>
                </w:tcPr>
                <w:p>
                  <w:r>
                    <w:t xml:space="preserve">27.63</w:t>
                  </w:r>
                </w:p>
              </w:tc>
              <w:tc>
                <w:tcPr>
                  <w:tcW w:w="900" w:type="pct"/>
                  <w:vAlign w:val="top"/>
                </w:tcPr>
                <w:p>
                  <w:r>
                    <w:t xml:space="preserve">28.57</w:t>
                  </w:r>
                </w:p>
              </w:tc>
            </w:tr>
            <w:tr>
              <w:trPr/>
              <w:tc>
                <w:tcPr>
                  <w:tcW w:w="900" w:type="pct"/>
                  <w:vAlign w:val="top"/>
                </w:tcPr>
                <w:p>
                  <w:r>
                    <w:t xml:space="preserve">14.5</w:t>
                  </w:r>
                </w:p>
              </w:tc>
              <w:tc>
                <w:tcPr>
                  <w:tcW w:w="1050" w:type="pct"/>
                  <w:vAlign w:val="top"/>
                </w:tcPr>
                <w:p>
                  <w:r>
                    <w:t xml:space="preserve">22.96</w:t>
                  </w:r>
                </w:p>
              </w:tc>
              <w:tc>
                <w:tcPr>
                  <w:tcW w:w="1050" w:type="pct"/>
                  <w:vAlign w:val="top"/>
                </w:tcPr>
                <w:p>
                  <w:r>
                    <w:t xml:space="preserve">23.66</w:t>
                  </w:r>
                </w:p>
              </w:tc>
              <w:tc>
                <w:tcPr>
                  <w:tcW w:w="900" w:type="pct"/>
                  <w:vAlign w:val="top"/>
                </w:tcPr>
                <w:p>
                  <w:r>
                    <w:t xml:space="preserve">27.98</w:t>
                  </w:r>
                </w:p>
              </w:tc>
              <w:tc>
                <w:tcPr>
                  <w:tcW w:w="900" w:type="pct"/>
                  <w:vAlign w:val="top"/>
                </w:tcPr>
                <w:p>
                  <w:r>
                    <w:t xml:space="preserve">28.87</w:t>
                  </w:r>
                </w:p>
              </w:tc>
            </w:tr>
            <w:tr>
              <w:trPr/>
              <w:tc>
                <w:tcPr>
                  <w:tcW w:w="900" w:type="pct"/>
                  <w:vAlign w:val="top"/>
                </w:tcPr>
                <w:p>
                  <w:r>
                    <w:t xml:space="preserve">15</w:t>
                  </w:r>
                </w:p>
              </w:tc>
              <w:tc>
                <w:tcPr>
                  <w:tcW w:w="1050" w:type="pct"/>
                  <w:vAlign w:val="top"/>
                </w:tcPr>
                <w:p>
                  <w:r>
                    <w:t xml:space="preserve">23.29</w:t>
                  </w:r>
                </w:p>
              </w:tc>
              <w:tc>
                <w:tcPr>
                  <w:tcW w:w="1050" w:type="pct"/>
                  <w:vAlign w:val="top"/>
                </w:tcPr>
                <w:p>
                  <w:r>
                    <w:t xml:space="preserve">23.94</w:t>
                  </w:r>
                </w:p>
              </w:tc>
              <w:tc>
                <w:tcPr>
                  <w:tcW w:w="900" w:type="pct"/>
                  <w:vAlign w:val="top"/>
                </w:tcPr>
                <w:p>
                  <w:r>
                    <w:t xml:space="preserve">28.30</w:t>
                  </w:r>
                </w:p>
              </w:tc>
              <w:tc>
                <w:tcPr>
                  <w:tcW w:w="900" w:type="pct"/>
                  <w:vAlign w:val="top"/>
                </w:tcPr>
                <w:p>
                  <w:r>
                    <w:t xml:space="preserve">29.11</w:t>
                  </w:r>
                </w:p>
              </w:tc>
            </w:tr>
            <w:tr>
              <w:trPr/>
              <w:tc>
                <w:tcPr>
                  <w:tcW w:w="900" w:type="pct"/>
                  <w:vAlign w:val="top"/>
                </w:tcPr>
                <w:p>
                  <w:r>
                    <w:t xml:space="preserve">15.5</w:t>
                  </w:r>
                </w:p>
              </w:tc>
              <w:tc>
                <w:tcPr>
                  <w:tcW w:w="1050" w:type="pct"/>
                  <w:vAlign w:val="top"/>
                </w:tcPr>
                <w:p>
                  <w:r>
                    <w:t xml:space="preserve">23.60</w:t>
                  </w:r>
                </w:p>
              </w:tc>
              <w:tc>
                <w:tcPr>
                  <w:tcW w:w="1050" w:type="pct"/>
                  <w:vAlign w:val="top"/>
                </w:tcPr>
                <w:p>
                  <w:r>
                    <w:t xml:space="preserve">24.17</w:t>
                  </w:r>
                </w:p>
              </w:tc>
              <w:tc>
                <w:tcPr>
                  <w:tcW w:w="900" w:type="pct"/>
                  <w:vAlign w:val="top"/>
                </w:tcPr>
                <w:p>
                  <w:r>
                    <w:t xml:space="preserve">28.60</w:t>
                  </w:r>
                </w:p>
              </w:tc>
              <w:tc>
                <w:tcPr>
                  <w:tcW w:w="900" w:type="pct"/>
                  <w:vAlign w:val="top"/>
                </w:tcPr>
                <w:p>
                  <w:r>
                    <w:t xml:space="preserve">29.29</w:t>
                  </w:r>
                </w:p>
              </w:tc>
            </w:tr>
            <w:tr>
              <w:trPr/>
              <w:tc>
                <w:tcPr>
                  <w:tcW w:w="900" w:type="pct"/>
                  <w:vAlign w:val="top"/>
                </w:tcPr>
                <w:p>
                  <w:r>
                    <w:t xml:space="preserve">16</w:t>
                  </w:r>
                </w:p>
              </w:tc>
              <w:tc>
                <w:tcPr>
                  <w:tcW w:w="1050" w:type="pct"/>
                  <w:vAlign w:val="top"/>
                </w:tcPr>
                <w:p>
                  <w:r>
                    <w:t xml:space="preserve">23.90</w:t>
                  </w:r>
                </w:p>
              </w:tc>
              <w:tc>
                <w:tcPr>
                  <w:tcW w:w="1050" w:type="pct"/>
                  <w:vAlign w:val="top"/>
                </w:tcPr>
                <w:p>
                  <w:r>
                    <w:t xml:space="preserve">24.37</w:t>
                  </w:r>
                </w:p>
              </w:tc>
              <w:tc>
                <w:tcPr>
                  <w:tcW w:w="900" w:type="pct"/>
                  <w:vAlign w:val="top"/>
                </w:tcPr>
                <w:p>
                  <w:r>
                    <w:t xml:space="preserve">28.88</w:t>
                  </w:r>
                </w:p>
              </w:tc>
              <w:tc>
                <w:tcPr>
                  <w:tcW w:w="900" w:type="pct"/>
                  <w:vAlign w:val="top"/>
                </w:tcPr>
                <w:p>
                  <w:r>
                    <w:t xml:space="preserve">29.43</w:t>
                  </w:r>
                </w:p>
              </w:tc>
            </w:tr>
            <w:tr>
              <w:trPr/>
              <w:tc>
                <w:tcPr>
                  <w:tcW w:w="900" w:type="pct"/>
                  <w:vAlign w:val="top"/>
                </w:tcPr>
                <w:p>
                  <w:r>
                    <w:t xml:space="preserve">16.5</w:t>
                  </w:r>
                </w:p>
              </w:tc>
              <w:tc>
                <w:tcPr>
                  <w:tcW w:w="1050" w:type="pct"/>
                  <w:vAlign w:val="top"/>
                </w:tcPr>
                <w:p>
                  <w:r>
                    <w:t xml:space="preserve">24.19</w:t>
                  </w:r>
                </w:p>
              </w:tc>
              <w:tc>
                <w:tcPr>
                  <w:tcW w:w="1050" w:type="pct"/>
                  <w:vAlign w:val="top"/>
                </w:tcPr>
                <w:p>
                  <w:r>
                    <w:t xml:space="preserve">24.54</w:t>
                  </w:r>
                </w:p>
              </w:tc>
              <w:tc>
                <w:tcPr>
                  <w:tcW w:w="900" w:type="pct"/>
                  <w:vAlign w:val="top"/>
                </w:tcPr>
                <w:p>
                  <w:r>
                    <w:t xml:space="preserve">29.14</w:t>
                  </w:r>
                </w:p>
              </w:tc>
              <w:tc>
                <w:tcPr>
                  <w:tcW w:w="900" w:type="pct"/>
                  <w:vAlign w:val="top"/>
                </w:tcPr>
                <w:p>
                  <w:r>
                    <w:t xml:space="preserve">29.56</w:t>
                  </w:r>
                </w:p>
              </w:tc>
            </w:tr>
            <w:tr>
              <w:trPr/>
              <w:tc>
                <w:tcPr>
                  <w:tcW w:w="900" w:type="pct"/>
                  <w:vAlign w:val="top"/>
                </w:tcPr>
                <w:p>
                  <w:r>
                    <w:t xml:space="preserve">17</w:t>
                  </w:r>
                </w:p>
              </w:tc>
              <w:tc>
                <w:tcPr>
                  <w:tcW w:w="1050" w:type="pct"/>
                  <w:vAlign w:val="top"/>
                </w:tcPr>
                <w:p>
                  <w:r>
                    <w:t xml:space="preserve">24.46</w:t>
                  </w:r>
                </w:p>
              </w:tc>
              <w:tc>
                <w:tcPr>
                  <w:tcW w:w="1050" w:type="pct"/>
                  <w:vAlign w:val="top"/>
                </w:tcPr>
                <w:p>
                  <w:r>
                    <w:t xml:space="preserve">24.70</w:t>
                  </w:r>
                </w:p>
              </w:tc>
              <w:tc>
                <w:tcPr>
                  <w:tcW w:w="900" w:type="pct"/>
                  <w:vAlign w:val="top"/>
                </w:tcPr>
                <w:p>
                  <w:r>
                    <w:t xml:space="preserve">29.41</w:t>
                  </w:r>
                </w:p>
              </w:tc>
              <w:tc>
                <w:tcPr>
                  <w:tcW w:w="900" w:type="pct"/>
                  <w:vAlign w:val="top"/>
                </w:tcPr>
                <w:p>
                  <w:r>
                    <w:t xml:space="preserve">26.69</w:t>
                  </w:r>
                </w:p>
              </w:tc>
            </w:tr>
            <w:tr>
              <w:trPr/>
              <w:tc>
                <w:tcPr>
                  <w:tcW w:w="900" w:type="pct"/>
                  <w:vAlign w:val="top"/>
                </w:tcPr>
                <w:p>
                  <w:r>
                    <w:t xml:space="preserve">17.5</w:t>
                  </w:r>
                </w:p>
              </w:tc>
              <w:tc>
                <w:tcPr>
                  <w:tcW w:w="1050" w:type="pct"/>
                  <w:vAlign w:val="top"/>
                </w:tcPr>
                <w:p>
                  <w:r>
                    <w:t xml:space="preserve">24.73</w:t>
                  </w:r>
                </w:p>
              </w:tc>
              <w:tc>
                <w:tcPr>
                  <w:tcW w:w="1050" w:type="pct"/>
                  <w:vAlign w:val="top"/>
                </w:tcPr>
                <w:p>
                  <w:r>
                    <w:t xml:space="preserve">24.85</w:t>
                  </w:r>
                </w:p>
              </w:tc>
              <w:tc>
                <w:tcPr>
                  <w:tcW w:w="900" w:type="pct"/>
                  <w:vAlign w:val="top"/>
                </w:tcPr>
                <w:p>
                  <w:r>
                    <w:t xml:space="preserve">29.70</w:t>
                  </w:r>
                </w:p>
              </w:tc>
              <w:tc>
                <w:tcPr>
                  <w:tcW w:w="900" w:type="pct"/>
                  <w:vAlign w:val="top"/>
                </w:tcPr>
                <w:p>
                  <w:r>
                    <w:t xml:space="preserve">29.84</w:t>
                  </w:r>
                </w:p>
              </w:tc>
            </w:tr>
            <w:tr>
              <w:trPr/>
              <w:tc>
                <w:tcPr>
                  <w:tcW w:w="900" w:type="pct"/>
                  <w:vAlign w:val="top"/>
                </w:tcPr>
                <w:p>
                  <w:r>
                    <w:t xml:space="preserve">18</w:t>
                  </w:r>
                </w:p>
              </w:tc>
              <w:tc>
                <w:tcPr>
                  <w:tcW w:w="1050" w:type="pct"/>
                  <w:vAlign w:val="top"/>
                </w:tcPr>
                <w:p>
                  <w:r>
                    <w:t xml:space="preserve">25.00</w:t>
                  </w:r>
                </w:p>
              </w:tc>
              <w:tc>
                <w:tcPr>
                  <w:tcW w:w="1050" w:type="pct"/>
                  <w:vAlign w:val="top"/>
                </w:tcPr>
                <w:p>
                  <w:r>
                    <w:t xml:space="preserve">25.00</w:t>
                  </w:r>
                </w:p>
              </w:tc>
              <w:tc>
                <w:tcPr>
                  <w:tcW w:w="900" w:type="pct"/>
                  <w:vAlign w:val="top"/>
                </w:tcPr>
                <w:p>
                  <w:r>
                    <w:t xml:space="preserve">30.00</w:t>
                  </w:r>
                </w:p>
              </w:tc>
              <w:tc>
                <w:tcPr>
                  <w:tcW w:w="900" w:type="pct"/>
                  <w:vAlign w:val="top"/>
                </w:tcPr>
                <w:p>
                  <w:r>
                    <w:t xml:space="preserve">30.00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US Centers for Disease Control 2000 BMI- for-age chart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can be considered to provide the most useful, albeit crude, population-level measure of obesity. The robust nature of the measurements and the widespread routine inclusion of weights and heights in clinical and population health surveys mean that a more selective measure of adiposity, such as skinfold thickness measurements, provides additional rather than primary information. BMI can be used to estimate the prevalence of obesity within a population and the risks associated with it, but does not, however, account for the wide variation in the nature of obesity between different individuals and populations (WHO 2000).</w:t>
            </w:r>
          </w:p>
          <w:p>
            <w:pPr>
              <w:spacing w:after="160"/>
            </w:pPr>
            <w:r>
              <w:rPr>
                <w:rStyle w:val="row-content-rich-text"/>
              </w:rPr>
              <w:t xml:space="preserve">BMI values for adults are age-independent and the same for both sexes.</w:t>
            </w:r>
          </w:p>
          <w:p>
            <w:pPr>
              <w:spacing w:after="160"/>
            </w:pPr>
            <w:r>
              <w:rPr>
                <w:rStyle w:val="row-content-rich-text"/>
              </w:rPr>
              <w:t xml:space="preserve">However, BMI values for children and adolescents aged 2 to 17 years are age and sex specific and are classified by comparing against the above table, Table 1: Classification of BMI for children and adolescents.</w:t>
            </w:r>
          </w:p>
          <w:p>
            <w:pPr>
              <w:spacing w:after="160"/>
            </w:pPr>
            <w:r>
              <w:rPr>
                <w:rStyle w:val="row-content-rich-text"/>
              </w:rPr>
              <w:t xml:space="preserve">For adults and children and adolescents BMI may not correspond to the same degree of fatness in different populations due, in part, to differences in body proportions. The classification table shows a simplistic relationship between BMI and the risk of comorbidity, which can be affected by a range of factors, including the nature of the diet, ethnic group and activity level. The risks associated with increasing BMI are continuous and graded and begin at a BMI of 25 (or equivalent to 25 for children and adolescents). The interpretation of BMI grades in relation to risk may differ for different populations. Both BMI and a measure of fat distribution (waist circumference or waist: hip ratio in adults) are important in calculating the risk of obesity comorbidities.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Methods used to establish cut-off points for overweight have been arbitrary and, as a result, cut-off points vary between countries. The data are derived mainly from studies of mortality and morbidity risk performed in people living in western Europe or the United States of America, and cut-off points for BMI as an indicator of adiposity and risk in populations who differ in body build and genetic disposition are likely to vary.</w:t>
            </w:r>
          </w:p>
          <w:p>
            <w:pPr>
              <w:spacing w:after="160"/>
            </w:pPr>
            <w:r>
              <w:rPr>
                <w:rStyle w:val="row-content-rich-text"/>
              </w:rPr>
              <w:t xml:space="preserve">Caution is required in relation to BMI cut-off points when used for different ethnic groups because of limited outcome data for some ethnic groups, e.g. Aboriginal and Torres Strait Islander peoples. As with overweight the cut-off points for a given level of risk are likely to vary with body build, genetic background and physical activity.</w:t>
            </w:r>
          </w:p>
          <w:p>
            <w:pPr>
              <w:spacing w:after="160"/>
            </w:pPr>
            <w:r>
              <w:rPr>
                <w:rStyle w:val="row-content-rich-text"/>
              </w:rPr>
              <w:t xml:space="preserve">The classification above is different to ones that have been used in the past and it is important that in any trend analysis consistent definitions are used.</w:t>
            </w:r>
          </w:p>
          <w:p>
            <w:pPr/>
            <w:r>
              <w:rPr>
                <w:rStyle w:val="row-content-rich-text"/>
              </w:rPr>
              <w:t xml:space="preserve">BMI should not be rounded before categorisation to the classification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Organisation) 2000. Obesity: Preventing and Managing the Global Epidemic, report of a WHO Consultation. World Health Organization, Geneva.</w:t>
            </w:r>
          </w:p>
          <w:p>
            <w:pPr/>
            <w:r>
              <w:rPr>
                <w:rStyle w:val="row-content-rich-text"/>
              </w:rPr>
              <w:t xml:space="preserve">Cole TJ, Bellizi MC, Flegal KM, Dietz WH 2000. Establishing a standard definition for child overweight and obesity worldwide: international survey. British Medical Journal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22d4be5129e42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2d4be5129e42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65e31ebc804ccb"/>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 classification, version 2, Derived DE, NHDD, NHIMG, Superseded 01/03/2005.pdf</w:t>
              </w:r>
            </w:hyperlink>
          </w:p>
          <w:p>
            <w:r>
              <w:rPr>
                <w:rStyle w:val="row-content"/>
              </w:rPr>
              <w:t xml:space="preserve"> (79.5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7125ef9c2f64943">
              <w:r>
                <w:rPr>
                  <w:rStyle w:val="Hyperlink"/>
                </w:rPr>
                <w:t xml:space="preserve">Adult—body mass index (self-reported), ratio NN[N].N[N]</w:t>
              </w:r>
            </w:hyperlink>
          </w:p>
          <w:p>
            <w:pPr>
              <w:spacing w:before="0" w:after="0"/>
            </w:pPr>
            <w:r>
              <w:rPr>
                <w:rStyle w:val="row-content"/>
                <w:color w:val="244061"/>
              </w:rPr>
              <w:t xml:space="preserve">       </w:t>
            </w:r>
            <w:hyperlink w:history="true" r:id="Rd12741a0da0b4e5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843430550144ec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4153abefce0495f">
              <w:r>
                <w:rPr>
                  <w:rStyle w:val="Hyperlink"/>
                </w:rPr>
                <w:t xml:space="preserve">Child—body mass index (measured), ratio NN[N].N[N]</w:t>
              </w:r>
            </w:hyperlink>
          </w:p>
          <w:p>
            <w:pPr>
              <w:spacing w:before="0" w:after="0"/>
            </w:pPr>
            <w:r>
              <w:rPr>
                <w:rStyle w:val="row-content"/>
                <w:color w:val="244061"/>
              </w:rPr>
              <w:t xml:space="preserve">       </w:t>
            </w:r>
            <w:hyperlink w:history="true" r:id="Re2875dd4769247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5d7df9e1334f5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6c39df84ba6423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97d01ce8c1ea40f2">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ddbfcf78dc7e45f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cd494de141841b0">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dc7326b619de45a4">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958e0a7547684417">
              <w:r>
                <w:rPr>
                  <w:rStyle w:val="Hyperlink"/>
                </w:rPr>
                <w:t xml:space="preserve">Indigenous primary health care DSS 2012-14</w:t>
              </w:r>
            </w:hyperlink>
          </w:p>
          <w:p>
            <w:pPr>
              <w:spacing w:before="0" w:after="0"/>
            </w:pPr>
            <w:r>
              <w:rPr>
                <w:rStyle w:val="row-content"/>
                <w:color w:val="244061"/>
              </w:rPr>
              <w:t xml:space="preserve">       </w:t>
            </w:r>
            <w:hyperlink w:history="true" r:id="R2e462e63f82a4b9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6f30c281384db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cc501bcf84204778">
              <w:r>
                <w:rPr>
                  <w:rStyle w:val="Hyperlink"/>
                </w:rPr>
                <w:t xml:space="preserve">Indigenous primary health care DSS 2014-15</w:t>
              </w:r>
            </w:hyperlink>
          </w:p>
          <w:p>
            <w:pPr>
              <w:spacing w:before="0" w:after="0"/>
            </w:pPr>
            <w:r>
              <w:rPr>
                <w:rStyle w:val="row-content"/>
                <w:color w:val="244061"/>
              </w:rPr>
              <w:t xml:space="preserve">       </w:t>
            </w:r>
            <w:hyperlink w:history="true" r:id="R82bb0034ed9c431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8afdc2057c440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9b4e3e1e5bad439c">
              <w:r>
                <w:rPr>
                  <w:rStyle w:val="Hyperlink"/>
                </w:rPr>
                <w:t xml:space="preserve">Indigenous primary health care DSS 2015-17</w:t>
              </w:r>
            </w:hyperlink>
          </w:p>
          <w:p>
            <w:pPr>
              <w:spacing w:before="0" w:after="0"/>
            </w:pPr>
            <w:r>
              <w:rPr>
                <w:rStyle w:val="row-content"/>
                <w:color w:val="244061"/>
              </w:rPr>
              <w:t xml:space="preserve">       </w:t>
            </w:r>
            <w:hyperlink w:history="true" r:id="R29555805bfa540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bb2844fe10c423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e0e052f9cd594a56">
              <w:r>
                <w:rPr>
                  <w:rStyle w:val="Hyperlink"/>
                </w:rPr>
                <w:t xml:space="preserve">Indigenous primary health care NBEDS 2017–18</w:t>
              </w:r>
            </w:hyperlink>
          </w:p>
          <w:p>
            <w:pPr>
              <w:spacing w:before="0" w:after="0"/>
            </w:pPr>
            <w:r>
              <w:rPr>
                <w:rStyle w:val="row-content"/>
                <w:color w:val="244061"/>
              </w:rPr>
              <w:t xml:space="preserve">       </w:t>
            </w:r>
            <w:hyperlink w:history="true" r:id="R1236f282c71f49b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2b9d852cd1f4ec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0bc2d24bb94f4417">
              <w:r>
                <w:rPr>
                  <w:rStyle w:val="Hyperlink"/>
                </w:rPr>
                <w:t xml:space="preserve">Indigenous primary health care NBEDS 2018–19</w:t>
              </w:r>
            </w:hyperlink>
          </w:p>
          <w:p>
            <w:pPr>
              <w:spacing w:before="0" w:after="0"/>
            </w:pPr>
            <w:r>
              <w:rPr>
                <w:rStyle w:val="row-content"/>
                <w:color w:val="244061"/>
              </w:rPr>
              <w:t xml:space="preserve">       </w:t>
            </w:r>
            <w:hyperlink w:history="true" r:id="R5935906a9a7c4b6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a55d20555c54d2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84a7e9b1d6df4eb3">
              <w:r>
                <w:rPr>
                  <w:rStyle w:val="Hyperlink"/>
                </w:rPr>
                <w:t xml:space="preserve">Indigenous primary health care NBEDS 2019–20</w:t>
              </w:r>
            </w:hyperlink>
          </w:p>
          <w:p>
            <w:pPr>
              <w:spacing w:before="0" w:after="0"/>
            </w:pPr>
            <w:r>
              <w:rPr>
                <w:rStyle w:val="row-content"/>
                <w:color w:val="244061"/>
              </w:rPr>
              <w:t xml:space="preserve">       </w:t>
            </w:r>
            <w:hyperlink w:history="true" r:id="R75bced626b514a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1b451830ac4d1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ab06a4574aeb450c">
              <w:r>
                <w:rPr>
                  <w:rStyle w:val="Hyperlink"/>
                </w:rPr>
                <w:t xml:space="preserve">Indigenous primary health care NBEDS 2020–21</w:t>
              </w:r>
            </w:hyperlink>
          </w:p>
          <w:p>
            <w:pPr>
              <w:spacing w:before="0" w:after="0"/>
            </w:pPr>
            <w:r>
              <w:rPr>
                <w:rStyle w:val="row-content"/>
                <w:color w:val="244061"/>
              </w:rPr>
              <w:t xml:space="preserve">       </w:t>
            </w:r>
            <w:hyperlink w:history="true" r:id="Rb4b236ed8e86467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3c12e213fc0d4d74">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25da0e427404c33">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8f5a395b318d40fa">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4b67cc8721db4eee">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7afb12629984dd9">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97bd997fa8234a6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bcece463d244da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b554a22878184cc7">
              <w:r>
                <w:rPr>
                  <w:rStyle w:val="Hyperlink"/>
                </w:rPr>
                <w:t xml:space="preserve">Indigenous-specific primary health care NBEDS June 2021</w:t>
              </w:r>
            </w:hyperlink>
          </w:p>
          <w:p>
            <w:pPr>
              <w:spacing w:before="0" w:after="0"/>
            </w:pPr>
            <w:r>
              <w:rPr>
                <w:rStyle w:val="row-content"/>
                <w:color w:val="244061"/>
              </w:rPr>
              <w:t xml:space="preserve">       </w:t>
            </w:r>
            <w:hyperlink w:history="true" r:id="R7c97957e465e47d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cddefb65ca6f4ca1">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d7ca4fe30db44a1b">
              <w:r>
                <w:rPr>
                  <w:rStyle w:val="Hyperlink"/>
                </w:rPr>
                <w:t xml:space="preserve">Indigenous-specific primary health care NBEDS June 2022</w:t>
              </w:r>
            </w:hyperlink>
          </w:p>
          <w:p>
            <w:pPr>
              <w:spacing w:before="0" w:after="0"/>
            </w:pPr>
            <w:r>
              <w:rPr>
                <w:rStyle w:val="row-content"/>
                <w:color w:val="244061"/>
              </w:rPr>
              <w:t xml:space="preserve">       </w:t>
            </w:r>
            <w:hyperlink w:history="true" r:id="R18351a43921b401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78c55fa976364eb1">
              <w:r>
                <w:rPr>
                  <w:rStyle w:val="Hyperlink"/>
                </w:rPr>
                <w:t xml:space="preserve">Indigenous-specific primary health care NBEDS June 2023</w:t>
              </w:r>
            </w:hyperlink>
          </w:p>
          <w:p>
            <w:pPr>
              <w:spacing w:before="0" w:after="0"/>
            </w:pPr>
            <w:r>
              <w:rPr>
                <w:rStyle w:val="row-content"/>
                <w:color w:val="244061"/>
              </w:rPr>
              <w:t xml:space="preserve">       </w:t>
            </w:r>
            <w:hyperlink w:history="true" r:id="R7ce343b021604b6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e7106bba0a946f1">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cc822da6999e4f5b">
              <w:r>
                <w:rPr>
                  <w:rStyle w:val="Hyperlink"/>
                  <w:color w:val="244061"/>
                </w:rPr>
                <w:t xml:space="preserve">Indigenous</w:t>
              </w:r>
            </w:hyperlink>
            <w:r>
              <w:rPr>
                <w:rStyle w:val="row-content"/>
                <w:color w:val="244061"/>
              </w:rPr>
              <w:t xml:space="preserve">, Standard 25/02/2024</w:t>
            </w:r>
          </w:p>
          <w:p>
            <w:r>
              <w:br/>
            </w:r>
            <w:hyperlink w:history="true" r:id="Rbf0ea7ec3fb048ac">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0d6e7bb495c84542">
              <w:r>
                <w:rPr>
                  <w:rStyle w:val="Hyperlink"/>
                  <w:color w:val="244061"/>
                </w:rPr>
                <w:t xml:space="preserve">Indigenous</w:t>
              </w:r>
            </w:hyperlink>
            <w:r>
              <w:rPr>
                <w:rStyle w:val="row-content"/>
                <w:color w:val="244061"/>
              </w:rPr>
              <w:t xml:space="preserve">, Qualified 17/04/2024</w:t>
            </w:r>
          </w:p>
          <w:p>
            <w:r>
              <w:br/>
            </w:r>
            <w:hyperlink w:history="true" r:id="Rff9b4fadeb134d3d">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b50d07a8070c4303">
              <w:r>
                <w:rPr>
                  <w:rStyle w:val="Hyperlink"/>
                  <w:color w:val="244061"/>
                </w:rPr>
                <w:t xml:space="preserve">Indigenous</w:t>
              </w:r>
            </w:hyperlink>
            <w:r>
              <w:rPr>
                <w:rStyle w:val="row-content"/>
                <w:color w:val="244061"/>
              </w:rPr>
              <w:t xml:space="preserve">, Standard 25/02/2024</w:t>
            </w:r>
          </w:p>
          <w:p>
            <w:r>
              <w:br/>
            </w:r>
            <w:hyperlink w:history="true" r:id="R60ec4997ab6f4cbe">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ef555ced10da46aa">
              <w:r>
                <w:rPr>
                  <w:rStyle w:val="Hyperlink"/>
                  <w:color w:val="244061"/>
                </w:rPr>
                <w:t xml:space="preserve">Indigenous</w:t>
              </w:r>
            </w:hyperlink>
            <w:r>
              <w:rPr>
                <w:rStyle w:val="row-content"/>
                <w:color w:val="244061"/>
              </w:rPr>
              <w:t xml:space="preserve">, Qualified 17/04/2024</w:t>
            </w:r>
          </w:p>
          <w:p>
            <w:r>
              <w:br/>
            </w:r>
            <w:hyperlink w:history="true" r:id="R1442f07a7a734d6d">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4cb1d676958d4185">
              <w:r>
                <w:rPr>
                  <w:rStyle w:val="Hyperlink"/>
                  <w:color w:val="244061"/>
                </w:rPr>
                <w:t xml:space="preserve">Health</w:t>
              </w:r>
            </w:hyperlink>
            <w:r>
              <w:rPr>
                <w:rStyle w:val="row-content"/>
                <w:color w:val="244061"/>
              </w:rPr>
              <w:t xml:space="preserve">, Superseded 23/02/2012</w:t>
            </w:r>
          </w:p>
          <w:p>
            <w:r>
              <w:br/>
            </w:r>
            <w:hyperlink w:history="true" r:id="R75fdcac7ef274e4f">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09575b90b0c146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fc24421086c4f3f">
              <w:r>
                <w:rPr>
                  <w:rStyle w:val="Hyperlink"/>
                  <w:color w:val="244061"/>
                </w:rPr>
                <w:t xml:space="preserve">Indigenous</w:t>
              </w:r>
            </w:hyperlink>
            <w:r>
              <w:rPr>
                <w:rStyle w:val="row-content"/>
                <w:color w:val="244061"/>
              </w:rPr>
              <w:t xml:space="preserve">, Superseded 21/11/2013</w:t>
            </w:r>
          </w:p>
          <w:p>
            <w:r>
              <w:br/>
            </w:r>
            <w:hyperlink w:history="true" r:id="Rc29f28640f6d4b09">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bf763024fce941e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dc2888e59e145b2">
              <w:r>
                <w:rPr>
                  <w:rStyle w:val="Hyperlink"/>
                  <w:color w:val="244061"/>
                </w:rPr>
                <w:t xml:space="preserve">Indigenous</w:t>
              </w:r>
            </w:hyperlink>
            <w:r>
              <w:rPr>
                <w:rStyle w:val="row-content"/>
                <w:color w:val="244061"/>
              </w:rPr>
              <w:t xml:space="preserve">, Superseded 13/03/2015</w:t>
            </w:r>
          </w:p>
          <w:p>
            <w:r>
              <w:br/>
            </w:r>
            <w:hyperlink w:history="true" r:id="R67a63e6e4c5d4dac">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75b5e7965aa045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afed3a577d41f7">
              <w:r>
                <w:rPr>
                  <w:rStyle w:val="Hyperlink"/>
                  <w:color w:val="244061"/>
                </w:rPr>
                <w:t xml:space="preserve">Indigenous</w:t>
              </w:r>
            </w:hyperlink>
            <w:r>
              <w:rPr>
                <w:rStyle w:val="row-content"/>
                <w:color w:val="244061"/>
              </w:rPr>
              <w:t xml:space="preserve">, Superseded 20/01/2017</w:t>
            </w:r>
          </w:p>
          <w:p>
            <w:r>
              <w:br/>
            </w:r>
            <w:hyperlink w:history="true" r:id="R203dd82fae41433f">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54f5573f922741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22c0ed9e1b4bfc">
              <w:r>
                <w:rPr>
                  <w:rStyle w:val="Hyperlink"/>
                  <w:color w:val="244061"/>
                </w:rPr>
                <w:t xml:space="preserve">Indigenous</w:t>
              </w:r>
            </w:hyperlink>
            <w:r>
              <w:rPr>
                <w:rStyle w:val="row-content"/>
                <w:color w:val="244061"/>
              </w:rPr>
              <w:t xml:space="preserve">, Superseded 27/02/2018</w:t>
            </w:r>
          </w:p>
          <w:p>
            <w:r>
              <w:br/>
            </w:r>
            <w:hyperlink w:history="true" r:id="Rb4b04fa5274d44e8">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9e4dcf23a0844af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8b777f6f054658">
              <w:r>
                <w:rPr>
                  <w:rStyle w:val="Hyperlink"/>
                  <w:color w:val="244061"/>
                </w:rPr>
                <w:t xml:space="preserve">Indigenous</w:t>
              </w:r>
            </w:hyperlink>
            <w:r>
              <w:rPr>
                <w:rStyle w:val="row-content"/>
                <w:color w:val="244061"/>
              </w:rPr>
              <w:t xml:space="preserve">, Superseded 17/10/2018</w:t>
            </w:r>
          </w:p>
          <w:p>
            <w:r>
              <w:br/>
            </w:r>
            <w:hyperlink w:history="true" r:id="R1c91a95863444475">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623171588f39490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6d29f73526c4332">
              <w:r>
                <w:rPr>
                  <w:rStyle w:val="Hyperlink"/>
                  <w:color w:val="244061"/>
                </w:rPr>
                <w:t xml:space="preserve">Indigenous</w:t>
              </w:r>
            </w:hyperlink>
            <w:r>
              <w:rPr>
                <w:rStyle w:val="row-content"/>
                <w:color w:val="244061"/>
              </w:rPr>
              <w:t xml:space="preserve">, Superseded 14/07/2021</w:t>
            </w:r>
          </w:p>
          <w:p>
            <w:r>
              <w:br/>
            </w:r>
            <w:hyperlink w:history="true" r:id="Rb6f5c54be2054af7">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5eede210550d4e4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871576b3bd0431c">
              <w:r>
                <w:rPr>
                  <w:rStyle w:val="Hyperlink"/>
                  <w:color w:val="244061"/>
                </w:rPr>
                <w:t xml:space="preserve">Indigenous</w:t>
              </w:r>
            </w:hyperlink>
            <w:r>
              <w:rPr>
                <w:rStyle w:val="row-content"/>
                <w:color w:val="244061"/>
              </w:rPr>
              <w:t xml:space="preserve">, Superseded 14/07/2021</w:t>
            </w:r>
          </w:p>
          <w:p>
            <w:r>
              <w:br/>
            </w:r>
            <w:hyperlink w:history="true" r:id="R5087ae2f6a5843eb">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24169ec3682642a9">
              <w:r>
                <w:rPr>
                  <w:rStyle w:val="Hyperlink"/>
                  <w:color w:val="244061"/>
                </w:rPr>
                <w:t xml:space="preserve">Health</w:t>
              </w:r>
            </w:hyperlink>
            <w:r>
              <w:rPr>
                <w:rStyle w:val="row-content"/>
                <w:color w:val="244061"/>
              </w:rPr>
              <w:t xml:space="preserve">, Superseded 23/02/2012</w:t>
            </w:r>
          </w:p>
          <w:p>
            <w:r>
              <w:br/>
            </w:r>
            <w:hyperlink w:history="true" r:id="Rb13e19e4872d43af">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d45fa301c6dc42a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494e51c491a4984">
              <w:r>
                <w:rPr>
                  <w:rStyle w:val="Hyperlink"/>
                  <w:color w:val="244061"/>
                </w:rPr>
                <w:t xml:space="preserve">Indigenous</w:t>
              </w:r>
            </w:hyperlink>
            <w:r>
              <w:rPr>
                <w:rStyle w:val="row-content"/>
                <w:color w:val="244061"/>
              </w:rPr>
              <w:t xml:space="preserve">, Superseded 21/11/2013</w:t>
            </w:r>
          </w:p>
          <w:p>
            <w:r>
              <w:br/>
            </w:r>
            <w:hyperlink w:history="true" r:id="Rb5e7f2e72e074e58">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b1d56b0efd98497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f74b538f6a149d3">
              <w:r>
                <w:rPr>
                  <w:rStyle w:val="Hyperlink"/>
                  <w:color w:val="244061"/>
                </w:rPr>
                <w:t xml:space="preserve">Indigenous</w:t>
              </w:r>
            </w:hyperlink>
            <w:r>
              <w:rPr>
                <w:rStyle w:val="row-content"/>
                <w:color w:val="244061"/>
              </w:rPr>
              <w:t xml:space="preserve">, Superseded 13/03/2015</w:t>
            </w:r>
          </w:p>
          <w:p>
            <w:r>
              <w:br/>
            </w:r>
            <w:hyperlink w:history="true" r:id="R0de11e4c28d446c5">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7f690f8cffc74b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2eeb77cef64b55">
              <w:r>
                <w:rPr>
                  <w:rStyle w:val="Hyperlink"/>
                  <w:color w:val="244061"/>
                </w:rPr>
                <w:t xml:space="preserve">Indigenous</w:t>
              </w:r>
            </w:hyperlink>
            <w:r>
              <w:rPr>
                <w:rStyle w:val="row-content"/>
                <w:color w:val="244061"/>
              </w:rPr>
              <w:t xml:space="preserve">, Superseded 20/01/2017</w:t>
            </w:r>
          </w:p>
          <w:p>
            <w:r>
              <w:br/>
            </w:r>
            <w:hyperlink w:history="true" r:id="R86522130e9b94042">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03cfd17c9ef4454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b2c37e6a9d4119">
              <w:r>
                <w:rPr>
                  <w:rStyle w:val="Hyperlink"/>
                  <w:color w:val="244061"/>
                </w:rPr>
                <w:t xml:space="preserve">Indigenous</w:t>
              </w:r>
            </w:hyperlink>
            <w:r>
              <w:rPr>
                <w:rStyle w:val="row-content"/>
                <w:color w:val="244061"/>
              </w:rPr>
              <w:t xml:space="preserve">, Superseded 17/10/2018</w:t>
            </w:r>
          </w:p>
          <w:p>
            <w:r>
              <w:br/>
            </w:r>
            <w:hyperlink w:history="true" r:id="R25951cdbae7b4f0b">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0b09ac734a3446e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0d37f67e9f42c8">
              <w:r>
                <w:rPr>
                  <w:rStyle w:val="Hyperlink"/>
                  <w:color w:val="244061"/>
                </w:rPr>
                <w:t xml:space="preserve">Indigenous</w:t>
              </w:r>
            </w:hyperlink>
            <w:r>
              <w:rPr>
                <w:rStyle w:val="row-content"/>
                <w:color w:val="244061"/>
              </w:rPr>
              <w:t xml:space="preserve">, Superseded 27/02/2018</w:t>
            </w:r>
          </w:p>
          <w:p>
            <w:r>
              <w:br/>
            </w:r>
            <w:hyperlink w:history="true" r:id="R237485d320004ea6">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06d4cf62541445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fe1034ded394ad2">
              <w:r>
                <w:rPr>
                  <w:rStyle w:val="Hyperlink"/>
                  <w:color w:val="244061"/>
                </w:rPr>
                <w:t xml:space="preserve">Indigenous</w:t>
              </w:r>
            </w:hyperlink>
            <w:r>
              <w:rPr>
                <w:rStyle w:val="row-content"/>
                <w:color w:val="244061"/>
              </w:rPr>
              <w:t xml:space="preserve">, Superseded 14/07/2021</w:t>
            </w:r>
          </w:p>
          <w:p>
            <w:r>
              <w:br/>
            </w:r>
            <w:hyperlink w:history="true" r:id="R1fe4a940535740f3">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1e10c1028f39490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a05a24d097344f2">
              <w:r>
                <w:rPr>
                  <w:rStyle w:val="Hyperlink"/>
                  <w:color w:val="244061"/>
                </w:rPr>
                <w:t xml:space="preserve">Indigenous</w:t>
              </w:r>
            </w:hyperlink>
            <w:r>
              <w:rPr>
                <w:rStyle w:val="row-content"/>
                <w:color w:val="244061"/>
              </w:rPr>
              <w:t xml:space="preserve">, Superseded 14/07/2021</w:t>
            </w:r>
          </w:p>
          <w:p>
            <w:r>
              <w:br/>
            </w:r>
            <w:hyperlink w:history="true" r:id="Ra77945e829754bec">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b02d76c89a6e4f3a">
              <w:r>
                <w:rPr>
                  <w:rStyle w:val="Hyperlink"/>
                  <w:color w:val="244061"/>
                </w:rPr>
                <w:t xml:space="preserve">Indigenous</w:t>
              </w:r>
            </w:hyperlink>
            <w:r>
              <w:rPr>
                <w:rStyle w:val="row-content"/>
                <w:color w:val="244061"/>
              </w:rPr>
              <w:t xml:space="preserve">, Superseded 03/07/2022</w:t>
            </w:r>
          </w:p>
          <w:p>
            <w:r>
              <w:br/>
            </w:r>
            <w:hyperlink w:history="true" r:id="R26110ae0478f403f">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cc2a39069da04423">
              <w:r>
                <w:rPr>
                  <w:rStyle w:val="Hyperlink"/>
                  <w:color w:val="244061"/>
                </w:rPr>
                <w:t xml:space="preserve">Indigenous</w:t>
              </w:r>
            </w:hyperlink>
            <w:r>
              <w:rPr>
                <w:rStyle w:val="row-content"/>
                <w:color w:val="244061"/>
              </w:rPr>
              <w:t xml:space="preserve">, Superseded 06/11/2022</w:t>
            </w:r>
          </w:p>
          <w:p>
            <w:r>
              <w:br/>
            </w:r>
            <w:hyperlink w:history="true" r:id="Red94476715854b87">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c8c915673952448f">
              <w:r>
                <w:rPr>
                  <w:rStyle w:val="Hyperlink"/>
                  <w:color w:val="244061"/>
                </w:rPr>
                <w:t xml:space="preserve">Indigenous</w:t>
              </w:r>
            </w:hyperlink>
            <w:r>
              <w:rPr>
                <w:rStyle w:val="row-content"/>
                <w:color w:val="244061"/>
              </w:rPr>
              <w:t xml:space="preserve">, Superseded 12/06/2023</w:t>
            </w:r>
          </w:p>
          <w:p>
            <w:r>
              <w:br/>
            </w:r>
            <w:hyperlink w:history="true" r:id="Rcd8325da18ac418d">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eab5708568fa4900">
              <w:r>
                <w:rPr>
                  <w:rStyle w:val="Hyperlink"/>
                  <w:color w:val="244061"/>
                </w:rPr>
                <w:t xml:space="preserve">Indigenous</w:t>
              </w:r>
            </w:hyperlink>
            <w:r>
              <w:rPr>
                <w:rStyle w:val="row-content"/>
                <w:color w:val="244061"/>
              </w:rPr>
              <w:t xml:space="preserve">, Superseded 18/12/2023</w:t>
            </w:r>
          </w:p>
          <w:p>
            <w:r>
              <w:br/>
            </w:r>
            <w:hyperlink w:history="true" r:id="Ra16d474ebff84803">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83f64d4175394626">
              <w:r>
                <w:rPr>
                  <w:rStyle w:val="Hyperlink"/>
                  <w:color w:val="244061"/>
                </w:rPr>
                <w:t xml:space="preserve">Indigenous</w:t>
              </w:r>
            </w:hyperlink>
            <w:r>
              <w:rPr>
                <w:rStyle w:val="row-content"/>
                <w:color w:val="244061"/>
              </w:rPr>
              <w:t xml:space="preserve">, Superseded 27/08/2023</w:t>
            </w:r>
          </w:p>
          <w:p>
            <w:r>
              <w:br/>
            </w:r>
            <w:hyperlink w:history="true" r:id="Ra657f5fe2c6e4070">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5bfeb822f5b546d1">
              <w:r>
                <w:rPr>
                  <w:rStyle w:val="Hyperlink"/>
                  <w:color w:val="244061"/>
                </w:rPr>
                <w:t xml:space="preserve">Indigenous</w:t>
              </w:r>
            </w:hyperlink>
            <w:r>
              <w:rPr>
                <w:rStyle w:val="row-content"/>
                <w:color w:val="244061"/>
              </w:rPr>
              <w:t xml:space="preserve">, Superseded 25/02/2024</w:t>
            </w:r>
          </w:p>
          <w:p>
            <w:r>
              <w:br/>
            </w:r>
            <w:hyperlink w:history="true" r:id="R27574e885e1b4247">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8ea3d35f1ad540b4">
              <w:r>
                <w:rPr>
                  <w:rStyle w:val="Hyperlink"/>
                  <w:color w:val="244061"/>
                </w:rPr>
                <w:t xml:space="preserve">Indigenous</w:t>
              </w:r>
            </w:hyperlink>
            <w:r>
              <w:rPr>
                <w:rStyle w:val="row-content"/>
                <w:color w:val="244061"/>
              </w:rPr>
              <w:t xml:space="preserve">, Superseded 06/11/2022</w:t>
            </w:r>
          </w:p>
          <w:p>
            <w:r>
              <w:br/>
            </w:r>
            <w:hyperlink w:history="true" r:id="Rb14626e9841c4f16">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e49cb40d70f44f3f">
              <w:r>
                <w:rPr>
                  <w:rStyle w:val="Hyperlink"/>
                  <w:color w:val="244061"/>
                </w:rPr>
                <w:t xml:space="preserve">Indigenous</w:t>
              </w:r>
            </w:hyperlink>
            <w:r>
              <w:rPr>
                <w:rStyle w:val="row-content"/>
                <w:color w:val="244061"/>
              </w:rPr>
              <w:t xml:space="preserve">, Superseded 03/07/2022</w:t>
            </w:r>
          </w:p>
          <w:p>
            <w:r>
              <w:br/>
            </w:r>
            <w:hyperlink w:history="true" r:id="R404d9468adb04cea">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c793c0efb25b4ccf">
              <w:r>
                <w:rPr>
                  <w:rStyle w:val="Hyperlink"/>
                  <w:color w:val="244061"/>
                </w:rPr>
                <w:t xml:space="preserve">Indigenous</w:t>
              </w:r>
            </w:hyperlink>
            <w:r>
              <w:rPr>
                <w:rStyle w:val="row-content"/>
                <w:color w:val="244061"/>
              </w:rPr>
              <w:t xml:space="preserve">, Superseded 12/06/2023</w:t>
            </w:r>
          </w:p>
          <w:p>
            <w:r>
              <w:br/>
            </w:r>
            <w:hyperlink w:history="true" r:id="R4de7ab6c914b4d7f">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a453405186494419">
              <w:r>
                <w:rPr>
                  <w:rStyle w:val="Hyperlink"/>
                  <w:color w:val="244061"/>
                </w:rPr>
                <w:t xml:space="preserve">Indigenous</w:t>
              </w:r>
            </w:hyperlink>
            <w:r>
              <w:rPr>
                <w:rStyle w:val="row-content"/>
                <w:color w:val="244061"/>
              </w:rPr>
              <w:t xml:space="preserve">, Superseded 18/12/2023</w:t>
            </w:r>
          </w:p>
          <w:p>
            <w:r>
              <w:br/>
            </w:r>
            <w:hyperlink w:history="true" r:id="Re9a037b5aeef4fdb">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5215f9396290437b">
              <w:r>
                <w:rPr>
                  <w:rStyle w:val="Hyperlink"/>
                  <w:color w:val="244061"/>
                </w:rPr>
                <w:t xml:space="preserve">Indigenous</w:t>
              </w:r>
            </w:hyperlink>
            <w:r>
              <w:rPr>
                <w:rStyle w:val="row-content"/>
                <w:color w:val="244061"/>
              </w:rPr>
              <w:t xml:space="preserve">, Superseded 27/08/2023</w:t>
            </w:r>
          </w:p>
          <w:p>
            <w:r>
              <w:br/>
            </w:r>
            <w:hyperlink w:history="true" r:id="R010b7fcb07ff44c8">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3b938502943544e0">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ca29fc73e7b3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56e967dd24b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9fc73e7b3487a" /><Relationship Type="http://schemas.openxmlformats.org/officeDocument/2006/relationships/header" Target="/word/header1.xml" Id="R1b925f338e3442d9" /><Relationship Type="http://schemas.openxmlformats.org/officeDocument/2006/relationships/settings" Target="/word/settings.xml" Id="R6d9c15b9e8fa4b14" /><Relationship Type="http://schemas.openxmlformats.org/officeDocument/2006/relationships/styles" Target="/word/styles.xml" Id="Rf3b518e1ae814602" /><Relationship Type="http://schemas.openxmlformats.org/officeDocument/2006/relationships/hyperlink" Target="https://meteor.aihw.gov.au/RegistrationAuthority/12" TargetMode="External" Id="Rea538459a84b4a06" /><Relationship Type="http://schemas.openxmlformats.org/officeDocument/2006/relationships/hyperlink" Target="https://meteor.aihw.gov.au/RegistrationAuthority/6" TargetMode="External" Id="R160274f5ebb34355" /><Relationship Type="http://schemas.openxmlformats.org/officeDocument/2006/relationships/hyperlink" Target="https://meteor.aihw.gov.au/content/269558" TargetMode="External" Id="R65624e93effc4fbd" /><Relationship Type="http://schemas.openxmlformats.org/officeDocument/2006/relationships/hyperlink" Target="https://meteor.aihw.gov.au/RegistrationAuthority/12" TargetMode="External" Id="R6d14183d69ac44c9" /><Relationship Type="http://schemas.openxmlformats.org/officeDocument/2006/relationships/hyperlink" Target="https://meteor.aihw.gov.au/RegistrationAuthority/6" TargetMode="External" Id="Rc2fe7e1b8b0d4786" /><Relationship Type="http://schemas.openxmlformats.org/officeDocument/2006/relationships/hyperlink" Target="https://meteor.aihw.gov.au/content/268955" TargetMode="External" Id="Red641e6aa77d45a6" /><Relationship Type="http://schemas.openxmlformats.org/officeDocument/2006/relationships/hyperlink" Target="https://meteor.aihw.gov.au/content/269114" TargetMode="External" Id="R8072dc54ce264805" /><Relationship Type="http://schemas.openxmlformats.org/officeDocument/2006/relationships/hyperlink" Target="https://meteor.aihw.gov.au/content/311166" TargetMode="External" Id="Rd77fac9251114c0a" /><Relationship Type="http://schemas.openxmlformats.org/officeDocument/2006/relationships/hyperlink" Target="https://meteor.aihw.gov.au/RegistrationAuthority/12" TargetMode="External" Id="Rf125cbbf5046473d" /><Relationship Type="http://schemas.openxmlformats.org/officeDocument/2006/relationships/hyperlink" Target="https://meteor.aihw.gov.au/RegistrationAuthority/6" TargetMode="External" Id="R33d5c8729d3f4c25" /><Relationship Type="http://schemas.openxmlformats.org/officeDocument/2006/relationships/hyperlink" Target="https://meteor.aihw.gov.au/content/273839" TargetMode="External" Id="R722d4be5129e4291" /><Relationship Type="http://schemas.openxmlformats.org/officeDocument/2006/relationships/image" Target="/media/image.gif" Id="R9d65e31ebc804ccb" /><Relationship Type="http://schemas.openxmlformats.org/officeDocument/2006/relationships/hyperlink" Target="https://meteor.aihw.gov.au/content/270086" TargetMode="External" Id="Re7125ef9c2f64943" /><Relationship Type="http://schemas.openxmlformats.org/officeDocument/2006/relationships/hyperlink" Target="https://meteor.aihw.gov.au/RegistrationAuthority/12" TargetMode="External" Id="Rd12741a0da0b4e5b" /><Relationship Type="http://schemas.openxmlformats.org/officeDocument/2006/relationships/hyperlink" Target="https://meteor.aihw.gov.au/RegistrationAuthority/8" TargetMode="External" Id="R1843430550144ec1" /><Relationship Type="http://schemas.openxmlformats.org/officeDocument/2006/relationships/hyperlink" Target="https://meteor.aihw.gov.au/content/270085" TargetMode="External" Id="R04153abefce0495f" /><Relationship Type="http://schemas.openxmlformats.org/officeDocument/2006/relationships/hyperlink" Target="https://meteor.aihw.gov.au/RegistrationAuthority/12" TargetMode="External" Id="Re2875dd476924787" /><Relationship Type="http://schemas.openxmlformats.org/officeDocument/2006/relationships/hyperlink" Target="https://meteor.aihw.gov.au/content/787920" TargetMode="External" Id="R4e5d7df9e1334f5a" /><Relationship Type="http://schemas.openxmlformats.org/officeDocument/2006/relationships/hyperlink" Target="https://meteor.aihw.gov.au/RegistrationAuthority/6" TargetMode="External" Id="R76c39df84ba64234" /><Relationship Type="http://schemas.openxmlformats.org/officeDocument/2006/relationships/hyperlink" Target="https://meteor.aihw.gov.au/content/303794" TargetMode="External" Id="R97d01ce8c1ea40f2" /><Relationship Type="http://schemas.openxmlformats.org/officeDocument/2006/relationships/hyperlink" Target="https://meteor.aihw.gov.au/content/789146" TargetMode="External" Id="Rddbfcf78dc7e45f9" /><Relationship Type="http://schemas.openxmlformats.org/officeDocument/2006/relationships/hyperlink" Target="https://meteor.aihw.gov.au/RegistrationAuthority/6" TargetMode="External" Id="R4cd494de141841b0" /><Relationship Type="http://schemas.openxmlformats.org/officeDocument/2006/relationships/hyperlink" Target="https://meteor.aihw.gov.au/content/303794" TargetMode="External" Id="Rdc7326b619de45a4" /><Relationship Type="http://schemas.openxmlformats.org/officeDocument/2006/relationships/hyperlink" Target="https://meteor.aihw.gov.au/content/430629" TargetMode="External" Id="R958e0a7547684417" /><Relationship Type="http://schemas.openxmlformats.org/officeDocument/2006/relationships/hyperlink" Target="https://meteor.aihw.gov.au/RegistrationAuthority/12" TargetMode="External" Id="R2e462e63f82a4b9c" /><Relationship Type="http://schemas.openxmlformats.org/officeDocument/2006/relationships/hyperlink" Target="https://meteor.aihw.gov.au/RegistrationAuthority/6" TargetMode="External" Id="Re66f30c281384db7" /><Relationship Type="http://schemas.openxmlformats.org/officeDocument/2006/relationships/hyperlink" Target="https://meteor.aihw.gov.au/content/504325" TargetMode="External" Id="Rcc501bcf84204778" /><Relationship Type="http://schemas.openxmlformats.org/officeDocument/2006/relationships/hyperlink" Target="https://meteor.aihw.gov.au/RegistrationAuthority/12" TargetMode="External" Id="R82bb0034ed9c431c" /><Relationship Type="http://schemas.openxmlformats.org/officeDocument/2006/relationships/hyperlink" Target="https://meteor.aihw.gov.au/RegistrationAuthority/6" TargetMode="External" Id="R318afdc2057c4409" /><Relationship Type="http://schemas.openxmlformats.org/officeDocument/2006/relationships/hyperlink" Target="https://meteor.aihw.gov.au/content/585036" TargetMode="External" Id="R9b4e3e1e5bad439c" /><Relationship Type="http://schemas.openxmlformats.org/officeDocument/2006/relationships/hyperlink" Target="https://meteor.aihw.gov.au/RegistrationAuthority/12" TargetMode="External" Id="R29555805bfa54099" /><Relationship Type="http://schemas.openxmlformats.org/officeDocument/2006/relationships/hyperlink" Target="https://meteor.aihw.gov.au/RegistrationAuthority/6" TargetMode="External" Id="R7bb2844fe10c4232" /><Relationship Type="http://schemas.openxmlformats.org/officeDocument/2006/relationships/hyperlink" Target="https://meteor.aihw.gov.au/content/686603" TargetMode="External" Id="Re0e052f9cd594a56" /><Relationship Type="http://schemas.openxmlformats.org/officeDocument/2006/relationships/hyperlink" Target="https://meteor.aihw.gov.au/RegistrationAuthority/12" TargetMode="External" Id="R1236f282c71f49bb" /><Relationship Type="http://schemas.openxmlformats.org/officeDocument/2006/relationships/hyperlink" Target="https://meteor.aihw.gov.au/RegistrationAuthority/6" TargetMode="External" Id="R52b9d852cd1f4ec6" /><Relationship Type="http://schemas.openxmlformats.org/officeDocument/2006/relationships/hyperlink" Target="https://meteor.aihw.gov.au/content/694101" TargetMode="External" Id="R0bc2d24bb94f4417" /><Relationship Type="http://schemas.openxmlformats.org/officeDocument/2006/relationships/hyperlink" Target="https://meteor.aihw.gov.au/RegistrationAuthority/12" TargetMode="External" Id="R5935906a9a7c4b65" /><Relationship Type="http://schemas.openxmlformats.org/officeDocument/2006/relationships/hyperlink" Target="https://meteor.aihw.gov.au/RegistrationAuthority/6" TargetMode="External" Id="R1a55d20555c54d26" /><Relationship Type="http://schemas.openxmlformats.org/officeDocument/2006/relationships/hyperlink" Target="https://meteor.aihw.gov.au/content/707502" TargetMode="External" Id="R84a7e9b1d6df4eb3" /><Relationship Type="http://schemas.openxmlformats.org/officeDocument/2006/relationships/hyperlink" Target="https://meteor.aihw.gov.au/RegistrationAuthority/12" TargetMode="External" Id="R75bced626b514a62" /><Relationship Type="http://schemas.openxmlformats.org/officeDocument/2006/relationships/hyperlink" Target="https://meteor.aihw.gov.au/RegistrationAuthority/6" TargetMode="External" Id="Rb91b451830ac4d11" /><Relationship Type="http://schemas.openxmlformats.org/officeDocument/2006/relationships/hyperlink" Target="https://meteor.aihw.gov.au/content/715320" TargetMode="External" Id="Rab06a4574aeb450c" /><Relationship Type="http://schemas.openxmlformats.org/officeDocument/2006/relationships/hyperlink" Target="https://meteor.aihw.gov.au/RegistrationAuthority/12" TargetMode="External" Id="Rb4b236ed8e86467a" /><Relationship Type="http://schemas.openxmlformats.org/officeDocument/2006/relationships/hyperlink" Target="https://meteor.aihw.gov.au/content/738532" TargetMode="External" Id="R3c12e213fc0d4d74" /><Relationship Type="http://schemas.openxmlformats.org/officeDocument/2006/relationships/hyperlink" Target="https://meteor.aihw.gov.au/RegistrationAuthority/6" TargetMode="External" Id="R425da0e427404c33" /><Relationship Type="http://schemas.openxmlformats.org/officeDocument/2006/relationships/hyperlink" Target="https://meteor.aihw.gov.au/content/443083" TargetMode="External" Id="R8f5a395b318d40fa" /><Relationship Type="http://schemas.openxmlformats.org/officeDocument/2006/relationships/hyperlink" Target="https://meteor.aihw.gov.au/content/762318" TargetMode="External" Id="R4b67cc8721db4eee" /><Relationship Type="http://schemas.openxmlformats.org/officeDocument/2006/relationships/hyperlink" Target="https://meteor.aihw.gov.au/RegistrationAuthority/6" TargetMode="External" Id="R57afb12629984dd9" /><Relationship Type="http://schemas.openxmlformats.org/officeDocument/2006/relationships/hyperlink" Target="https://meteor.aihw.gov.au/content/779011" TargetMode="External" Id="R97bd997fa8234a64" /><Relationship Type="http://schemas.openxmlformats.org/officeDocument/2006/relationships/hyperlink" Target="https://meteor.aihw.gov.au/RegistrationAuthority/6" TargetMode="External" Id="Rbbcece463d244dac" /><Relationship Type="http://schemas.openxmlformats.org/officeDocument/2006/relationships/hyperlink" Target="https://meteor.aihw.gov.au/content/747374" TargetMode="External" Id="Rb554a22878184cc7" /><Relationship Type="http://schemas.openxmlformats.org/officeDocument/2006/relationships/hyperlink" Target="https://meteor.aihw.gov.au/RegistrationAuthority/6" TargetMode="External" Id="R7c97957e465e47d7" /><Relationship Type="http://schemas.openxmlformats.org/officeDocument/2006/relationships/hyperlink" Target="https://meteor.aihw.gov.au/content/443083" TargetMode="External" Id="Rcddefb65ca6f4ca1" /><Relationship Type="http://schemas.openxmlformats.org/officeDocument/2006/relationships/hyperlink" Target="https://meteor.aihw.gov.au/content/770355" TargetMode="External" Id="Rd7ca4fe30db44a1b" /><Relationship Type="http://schemas.openxmlformats.org/officeDocument/2006/relationships/hyperlink" Target="https://meteor.aihw.gov.au/RegistrationAuthority/6" TargetMode="External" Id="R18351a43921b401b" /><Relationship Type="http://schemas.openxmlformats.org/officeDocument/2006/relationships/hyperlink" Target="https://meteor.aihw.gov.au/content/782621" TargetMode="External" Id="R78c55fa976364eb1" /><Relationship Type="http://schemas.openxmlformats.org/officeDocument/2006/relationships/hyperlink" Target="https://meteor.aihw.gov.au/RegistrationAuthority/6" TargetMode="External" Id="R7ce343b021604b6d" /><Relationship Type="http://schemas.openxmlformats.org/officeDocument/2006/relationships/hyperlink" Target="https://meteor.aihw.gov.au/content/787975" TargetMode="External" Id="R1e7106bba0a946f1" /><Relationship Type="http://schemas.openxmlformats.org/officeDocument/2006/relationships/hyperlink" Target="https://meteor.aihw.gov.au/RegistrationAuthority/6" TargetMode="External" Id="Rcc822da6999e4f5b" /><Relationship Type="http://schemas.openxmlformats.org/officeDocument/2006/relationships/hyperlink" Target="https://meteor.aihw.gov.au/content/789200" TargetMode="External" Id="Rbf0ea7ec3fb048ac" /><Relationship Type="http://schemas.openxmlformats.org/officeDocument/2006/relationships/hyperlink" Target="https://meteor.aihw.gov.au/RegistrationAuthority/6" TargetMode="External" Id="R0d6e7bb495c84542" /><Relationship Type="http://schemas.openxmlformats.org/officeDocument/2006/relationships/hyperlink" Target="https://meteor.aihw.gov.au/content/787977" TargetMode="External" Id="Rff9b4fadeb134d3d" /><Relationship Type="http://schemas.openxmlformats.org/officeDocument/2006/relationships/hyperlink" Target="https://meteor.aihw.gov.au/RegistrationAuthority/6" TargetMode="External" Id="Rb50d07a8070c4303" /><Relationship Type="http://schemas.openxmlformats.org/officeDocument/2006/relationships/hyperlink" Target="https://meteor.aihw.gov.au/content/789202" TargetMode="External" Id="R60ec4997ab6f4cbe" /><Relationship Type="http://schemas.openxmlformats.org/officeDocument/2006/relationships/hyperlink" Target="https://meteor.aihw.gov.au/RegistrationAuthority/6" TargetMode="External" Id="Ref555ced10da46aa" /><Relationship Type="http://schemas.openxmlformats.org/officeDocument/2006/relationships/hyperlink" Target="https://meteor.aihw.gov.au/content/432455" TargetMode="External" Id="R1442f07a7a734d6d" /><Relationship Type="http://schemas.openxmlformats.org/officeDocument/2006/relationships/hyperlink" Target="https://meteor.aihw.gov.au/RegistrationAuthority/12" TargetMode="External" Id="R4cb1d676958d4185" /><Relationship Type="http://schemas.openxmlformats.org/officeDocument/2006/relationships/hyperlink" Target="https://meteor.aihw.gov.au/content/468117" TargetMode="External" Id="R75fdcac7ef274e4f" /><Relationship Type="http://schemas.openxmlformats.org/officeDocument/2006/relationships/hyperlink" Target="https://meteor.aihw.gov.au/RegistrationAuthority/12" TargetMode="External" Id="R09575b90b0c14645" /><Relationship Type="http://schemas.openxmlformats.org/officeDocument/2006/relationships/hyperlink" Target="https://meteor.aihw.gov.au/RegistrationAuthority/6" TargetMode="External" Id="R9fc24421086c4f3f" /><Relationship Type="http://schemas.openxmlformats.org/officeDocument/2006/relationships/hyperlink" Target="https://meteor.aihw.gov.au/content/504718" TargetMode="External" Id="Rc29f28640f6d4b09" /><Relationship Type="http://schemas.openxmlformats.org/officeDocument/2006/relationships/hyperlink" Target="https://meteor.aihw.gov.au/RegistrationAuthority/12" TargetMode="External" Id="Rbf763024fce941e1" /><Relationship Type="http://schemas.openxmlformats.org/officeDocument/2006/relationships/hyperlink" Target="https://meteor.aihw.gov.au/RegistrationAuthority/6" TargetMode="External" Id="R4dc2888e59e145b2" /><Relationship Type="http://schemas.openxmlformats.org/officeDocument/2006/relationships/hyperlink" Target="https://meteor.aihw.gov.au/content/589039" TargetMode="External" Id="R67a63e6e4c5d4dac" /><Relationship Type="http://schemas.openxmlformats.org/officeDocument/2006/relationships/hyperlink" Target="https://meteor.aihw.gov.au/RegistrationAuthority/12" TargetMode="External" Id="R75b5e7965aa04561" /><Relationship Type="http://schemas.openxmlformats.org/officeDocument/2006/relationships/hyperlink" Target="https://meteor.aihw.gov.au/RegistrationAuthority/6" TargetMode="External" Id="R48afed3a577d41f7" /><Relationship Type="http://schemas.openxmlformats.org/officeDocument/2006/relationships/hyperlink" Target="https://meteor.aihw.gov.au/content/663944" TargetMode="External" Id="R203dd82fae41433f" /><Relationship Type="http://schemas.openxmlformats.org/officeDocument/2006/relationships/hyperlink" Target="https://meteor.aihw.gov.au/RegistrationAuthority/12" TargetMode="External" Id="R54f5573f92274175" /><Relationship Type="http://schemas.openxmlformats.org/officeDocument/2006/relationships/hyperlink" Target="https://meteor.aihw.gov.au/RegistrationAuthority/6" TargetMode="External" Id="R2c22c0ed9e1b4bfc" /><Relationship Type="http://schemas.openxmlformats.org/officeDocument/2006/relationships/hyperlink" Target="https://meteor.aihw.gov.au/content/686468" TargetMode="External" Id="Rb4b04fa5274d44e8" /><Relationship Type="http://schemas.openxmlformats.org/officeDocument/2006/relationships/hyperlink" Target="https://meteor.aihw.gov.au/RegistrationAuthority/12" TargetMode="External" Id="R9e4dcf23a0844af8" /><Relationship Type="http://schemas.openxmlformats.org/officeDocument/2006/relationships/hyperlink" Target="https://meteor.aihw.gov.au/RegistrationAuthority/6" TargetMode="External" Id="R128b777f6f054658" /><Relationship Type="http://schemas.openxmlformats.org/officeDocument/2006/relationships/hyperlink" Target="https://meteor.aihw.gov.au/content/687970" TargetMode="External" Id="R1c91a95863444475" /><Relationship Type="http://schemas.openxmlformats.org/officeDocument/2006/relationships/hyperlink" Target="https://meteor.aihw.gov.au/RegistrationAuthority/12" TargetMode="External" Id="R623171588f39490c" /><Relationship Type="http://schemas.openxmlformats.org/officeDocument/2006/relationships/hyperlink" Target="https://meteor.aihw.gov.au/RegistrationAuthority/6" TargetMode="External" Id="R26d29f73526c4332" /><Relationship Type="http://schemas.openxmlformats.org/officeDocument/2006/relationships/hyperlink" Target="https://meteor.aihw.gov.au/content/717312" TargetMode="External" Id="Rb6f5c54be2054af7" /><Relationship Type="http://schemas.openxmlformats.org/officeDocument/2006/relationships/hyperlink" Target="https://meteor.aihw.gov.au/RegistrationAuthority/12" TargetMode="External" Id="R5eede210550d4e46" /><Relationship Type="http://schemas.openxmlformats.org/officeDocument/2006/relationships/hyperlink" Target="https://meteor.aihw.gov.au/RegistrationAuthority/6" TargetMode="External" Id="R9871576b3bd0431c" /><Relationship Type="http://schemas.openxmlformats.org/officeDocument/2006/relationships/hyperlink" Target="https://meteor.aihw.gov.au/content/430733" TargetMode="External" Id="R5087ae2f6a5843eb" /><Relationship Type="http://schemas.openxmlformats.org/officeDocument/2006/relationships/hyperlink" Target="https://meteor.aihw.gov.au/RegistrationAuthority/12" TargetMode="External" Id="R24169ec3682642a9" /><Relationship Type="http://schemas.openxmlformats.org/officeDocument/2006/relationships/hyperlink" Target="https://meteor.aihw.gov.au/content/468119" TargetMode="External" Id="Rb13e19e4872d43af" /><Relationship Type="http://schemas.openxmlformats.org/officeDocument/2006/relationships/hyperlink" Target="https://meteor.aihw.gov.au/RegistrationAuthority/12" TargetMode="External" Id="Rd45fa301c6dc42af" /><Relationship Type="http://schemas.openxmlformats.org/officeDocument/2006/relationships/hyperlink" Target="https://meteor.aihw.gov.au/RegistrationAuthority/6" TargetMode="External" Id="R5494e51c491a4984" /><Relationship Type="http://schemas.openxmlformats.org/officeDocument/2006/relationships/hyperlink" Target="https://meteor.aihw.gov.au/content/504729" TargetMode="External" Id="Rb5e7f2e72e074e58" /><Relationship Type="http://schemas.openxmlformats.org/officeDocument/2006/relationships/hyperlink" Target="https://meteor.aihw.gov.au/RegistrationAuthority/12" TargetMode="External" Id="Rb1d56b0efd984973" /><Relationship Type="http://schemas.openxmlformats.org/officeDocument/2006/relationships/hyperlink" Target="https://meteor.aihw.gov.au/RegistrationAuthority/6" TargetMode="External" Id="Ref74b538f6a149d3" /><Relationship Type="http://schemas.openxmlformats.org/officeDocument/2006/relationships/hyperlink" Target="https://meteor.aihw.gov.au/content/589041" TargetMode="External" Id="R0de11e4c28d446c5" /><Relationship Type="http://schemas.openxmlformats.org/officeDocument/2006/relationships/hyperlink" Target="https://meteor.aihw.gov.au/RegistrationAuthority/12" TargetMode="External" Id="R7f690f8cffc74ba4" /><Relationship Type="http://schemas.openxmlformats.org/officeDocument/2006/relationships/hyperlink" Target="https://meteor.aihw.gov.au/RegistrationAuthority/6" TargetMode="External" Id="R872eeb77cef64b55" /><Relationship Type="http://schemas.openxmlformats.org/officeDocument/2006/relationships/hyperlink" Target="https://meteor.aihw.gov.au/content/686470" TargetMode="External" Id="R86522130e9b94042" /><Relationship Type="http://schemas.openxmlformats.org/officeDocument/2006/relationships/hyperlink" Target="https://meteor.aihw.gov.au/RegistrationAuthority/12" TargetMode="External" Id="R03cfd17c9ef44543" /><Relationship Type="http://schemas.openxmlformats.org/officeDocument/2006/relationships/hyperlink" Target="https://meteor.aihw.gov.au/RegistrationAuthority/6" TargetMode="External" Id="Rd7b2c37e6a9d4119" /><Relationship Type="http://schemas.openxmlformats.org/officeDocument/2006/relationships/hyperlink" Target="https://meteor.aihw.gov.au/content/663934" TargetMode="External" Id="R25951cdbae7b4f0b" /><Relationship Type="http://schemas.openxmlformats.org/officeDocument/2006/relationships/hyperlink" Target="https://meteor.aihw.gov.au/RegistrationAuthority/12" TargetMode="External" Id="R0b09ac734a3446e3" /><Relationship Type="http://schemas.openxmlformats.org/officeDocument/2006/relationships/hyperlink" Target="https://meteor.aihw.gov.au/RegistrationAuthority/6" TargetMode="External" Id="R8c0d37f67e9f42c8" /><Relationship Type="http://schemas.openxmlformats.org/officeDocument/2006/relationships/hyperlink" Target="https://meteor.aihw.gov.au/content/687972" TargetMode="External" Id="R237485d320004ea6" /><Relationship Type="http://schemas.openxmlformats.org/officeDocument/2006/relationships/hyperlink" Target="https://meteor.aihw.gov.au/RegistrationAuthority/12" TargetMode="External" Id="R06d4cf625414456d" /><Relationship Type="http://schemas.openxmlformats.org/officeDocument/2006/relationships/hyperlink" Target="https://meteor.aihw.gov.au/RegistrationAuthority/6" TargetMode="External" Id="R0fe1034ded394ad2" /><Relationship Type="http://schemas.openxmlformats.org/officeDocument/2006/relationships/hyperlink" Target="https://meteor.aihw.gov.au/content/717314" TargetMode="External" Id="R1fe4a940535740f3" /><Relationship Type="http://schemas.openxmlformats.org/officeDocument/2006/relationships/hyperlink" Target="https://meteor.aihw.gov.au/RegistrationAuthority/12" TargetMode="External" Id="R1e10c1028f394907" /><Relationship Type="http://schemas.openxmlformats.org/officeDocument/2006/relationships/hyperlink" Target="https://meteor.aihw.gov.au/RegistrationAuthority/6" TargetMode="External" Id="Rca05a24d097344f2" /><Relationship Type="http://schemas.openxmlformats.org/officeDocument/2006/relationships/hyperlink" Target="https://meteor.aihw.gov.au/content/739384" TargetMode="External" Id="Ra77945e829754bec" /><Relationship Type="http://schemas.openxmlformats.org/officeDocument/2006/relationships/hyperlink" Target="https://meteor.aihw.gov.au/RegistrationAuthority/6" TargetMode="External" Id="Rb02d76c89a6e4f3a" /><Relationship Type="http://schemas.openxmlformats.org/officeDocument/2006/relationships/hyperlink" Target="https://meteor.aihw.gov.au/content/747559" TargetMode="External" Id="R26110ae0478f403f" /><Relationship Type="http://schemas.openxmlformats.org/officeDocument/2006/relationships/hyperlink" Target="https://meteor.aihw.gov.au/RegistrationAuthority/6" TargetMode="External" Id="Rcc2a39069da04423" /><Relationship Type="http://schemas.openxmlformats.org/officeDocument/2006/relationships/hyperlink" Target="https://meteor.aihw.gov.au/content/762568" TargetMode="External" Id="Red94476715854b87" /><Relationship Type="http://schemas.openxmlformats.org/officeDocument/2006/relationships/hyperlink" Target="https://meteor.aihw.gov.au/RegistrationAuthority/6" TargetMode="External" Id="Rc8c915673952448f" /><Relationship Type="http://schemas.openxmlformats.org/officeDocument/2006/relationships/hyperlink" Target="https://meteor.aihw.gov.au/content/779072" TargetMode="External" Id="Rcd8325da18ac418d" /><Relationship Type="http://schemas.openxmlformats.org/officeDocument/2006/relationships/hyperlink" Target="https://meteor.aihw.gov.au/RegistrationAuthority/6" TargetMode="External" Id="Reab5708568fa4900" /><Relationship Type="http://schemas.openxmlformats.org/officeDocument/2006/relationships/hyperlink" Target="https://meteor.aihw.gov.au/content/772314" TargetMode="External" Id="Ra16d474ebff84803" /><Relationship Type="http://schemas.openxmlformats.org/officeDocument/2006/relationships/hyperlink" Target="https://meteor.aihw.gov.au/RegistrationAuthority/6" TargetMode="External" Id="R83f64d4175394626" /><Relationship Type="http://schemas.openxmlformats.org/officeDocument/2006/relationships/hyperlink" Target="https://meteor.aihw.gov.au/content/782687" TargetMode="External" Id="Ra657f5fe2c6e4070" /><Relationship Type="http://schemas.openxmlformats.org/officeDocument/2006/relationships/hyperlink" Target="https://meteor.aihw.gov.au/RegistrationAuthority/6" TargetMode="External" Id="R5bfeb822f5b546d1" /><Relationship Type="http://schemas.openxmlformats.org/officeDocument/2006/relationships/hyperlink" Target="https://meteor.aihw.gov.au/content/747557" TargetMode="External" Id="R27574e885e1b4247" /><Relationship Type="http://schemas.openxmlformats.org/officeDocument/2006/relationships/hyperlink" Target="https://meteor.aihw.gov.au/RegistrationAuthority/6" TargetMode="External" Id="R8ea3d35f1ad540b4" /><Relationship Type="http://schemas.openxmlformats.org/officeDocument/2006/relationships/hyperlink" Target="https://meteor.aihw.gov.au/content/739386" TargetMode="External" Id="Rb14626e9841c4f16" /><Relationship Type="http://schemas.openxmlformats.org/officeDocument/2006/relationships/hyperlink" Target="https://meteor.aihw.gov.au/RegistrationAuthority/6" TargetMode="External" Id="Re49cb40d70f44f3f" /><Relationship Type="http://schemas.openxmlformats.org/officeDocument/2006/relationships/hyperlink" Target="https://meteor.aihw.gov.au/content/762577" TargetMode="External" Id="R404d9468adb04cea" /><Relationship Type="http://schemas.openxmlformats.org/officeDocument/2006/relationships/hyperlink" Target="https://meteor.aihw.gov.au/RegistrationAuthority/6" TargetMode="External" Id="Rc793c0efb25b4ccf" /><Relationship Type="http://schemas.openxmlformats.org/officeDocument/2006/relationships/hyperlink" Target="https://meteor.aihw.gov.au/content/779074" TargetMode="External" Id="R4de7ab6c914b4d7f" /><Relationship Type="http://schemas.openxmlformats.org/officeDocument/2006/relationships/hyperlink" Target="https://meteor.aihw.gov.au/RegistrationAuthority/6" TargetMode="External" Id="Ra453405186494419" /><Relationship Type="http://schemas.openxmlformats.org/officeDocument/2006/relationships/hyperlink" Target="https://meteor.aihw.gov.au/content/772316" TargetMode="External" Id="Re9a037b5aeef4fdb" /><Relationship Type="http://schemas.openxmlformats.org/officeDocument/2006/relationships/hyperlink" Target="https://meteor.aihw.gov.au/RegistrationAuthority/6" TargetMode="External" Id="R5215f9396290437b" /><Relationship Type="http://schemas.openxmlformats.org/officeDocument/2006/relationships/hyperlink" Target="https://meteor.aihw.gov.au/content/782691" TargetMode="External" Id="R010b7fcb07ff44c8" /><Relationship Type="http://schemas.openxmlformats.org/officeDocument/2006/relationships/hyperlink" Target="https://meteor.aihw.gov.au/RegistrationAuthority/6" TargetMode="External" Id="R3b938502943544e0" /></Relationships>
</file>

<file path=word/_rels/header1.xml.rels>&#65279;<?xml version="1.0" encoding="utf-8"?><Relationships xmlns="http://schemas.openxmlformats.org/package/2006/relationships"><Relationship Type="http://schemas.openxmlformats.org/officeDocument/2006/relationships/image" Target="/media/image.png" Id="R5b156e967dd24b25" /></Relationships>
</file>