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21f451844a14619" /></Relationships>
</file>

<file path=word/document.xml><?xml version="1.0" encoding="utf-8"?>
<w:document xmlns:r="http://schemas.openxmlformats.org/officeDocument/2006/relationships" xmlns:w="http://schemas.openxmlformats.org/wordprocessingml/2006/main">
  <w:body>
    <w:p>
      <w:pPr>
        <w:pStyle w:val="Title"/>
      </w:pPr>
      <w:r>
        <w:t>Person—body mass index (classification), code N{.N}</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Person—body mass index (classification), code N{.N}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Body mass index—classification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270474</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669660e360d64133">
              <w:r>
                <w:rPr>
                  <w:rStyle w:val="Hyperlink"/>
                  <w:color w:val="244061"/>
                </w:rPr>
                <w:t xml:space="preserve">Health</w:t>
              </w:r>
            </w:hyperlink>
            <w:r>
              <w:rPr>
                <w:rStyle w:val="row-content"/>
                <w:color w:val="244061"/>
              </w:rPr>
              <w:t xml:space="preserve">, Standard 01/03/2005</w:t>
            </w:r>
          </w:p>
          <w:p>
            <w:pPr>
              <w:spacing w:before="0" w:after="0"/>
            </w:pPr>
            <w:hyperlink w:history="true" r:id="Rf04b0012b94b49de">
              <w:r>
                <w:rPr>
                  <w:rStyle w:val="Hyperlink"/>
                  <w:color w:val="244061"/>
                </w:rPr>
                <w:t xml:space="preserve">Indigenous</w:t>
              </w:r>
            </w:hyperlink>
            <w:r>
              <w:rPr>
                <w:rStyle w:val="row-content"/>
                <w:color w:val="244061"/>
              </w:rPr>
              <w:t xml:space="preserve">, Standard 13/03/2015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category of weight deficit or excess in adults and weight excess only in children and adolescents as measured by a 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49de3f9433de488f">
              <w:r>
                <w:rPr>
                  <w:rStyle w:val="Hyperlink"/>
                </w:rPr>
                <w:t xml:space="preserve">Person—body mass index (classification)</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0b9264eb80e04302">
              <w:r>
                <w:rPr>
                  <w:rStyle w:val="Hyperlink"/>
                </w:rPr>
                <w:t xml:space="preserve">Body mass index category code N{.N}</w:t>
              </w:r>
            </w:hyperlink>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Permissible values:</w:t>
            </w:r>
          </w:p>
        </w:tc>
        <w:tc>
          <w:tcPr>
            <w:tcW w:w="1000" w:type="pct"/>
            <w:tcBorders>
              <w:top w:val="none" w:color="000000" w:sz="0"/>
              <w:left w:val="none" w:color="000000" w:sz="0"/>
              <w:bottom w:val="none" w:color="000000" w:sz="0"/>
              <w:right w:val="none" w:color="000000" w:sz="0"/>
            </w:tcBorders>
            <w:vAlign w:val="top"/>
          </w:tcPr>
          <w:p>
            <w:r>
              <w:t xml:space="preserve">1</w:t>
            </w:r>
          </w:p>
        </w:tc>
        <w:tc>
          <w:tcPr>
            <w:tcBorders>
              <w:top w:val="none" w:color="000000" w:sz="0"/>
              <w:left w:val="none" w:color="000000" w:sz="0"/>
              <w:bottom w:val="none" w:color="000000" w:sz="0"/>
              <w:right w:val="none" w:color="000000" w:sz="0"/>
            </w:tcBorders>
            <w:vAlign w:val="top"/>
          </w:tcPr>
          <w:p>
            <w:r>
              <w:t xml:space="preserve">Not overweight or obese &lt; 25.00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1.1</w:t>
            </w:r>
          </w:p>
        </w:tc>
        <w:tc>
          <w:tcPr>
            <w:tcBorders>
              <w:top w:val="none" w:color="000000" w:sz="0"/>
              <w:left w:val="none" w:color="000000" w:sz="0"/>
              <w:bottom w:val="none" w:color="000000" w:sz="0"/>
              <w:right w:val="none" w:color="000000" w:sz="0"/>
            </w:tcBorders>
            <w:vAlign w:val="top"/>
          </w:tcPr>
          <w:p>
            <w:r>
              <w:t xml:space="preserve">Underweight &lt; 18.50 Low (but risk of other clinical problems increased)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1.2</w:t>
            </w:r>
          </w:p>
        </w:tc>
        <w:tc>
          <w:tcPr>
            <w:tcBorders>
              <w:top w:val="none" w:color="000000" w:sz="0"/>
              <w:left w:val="none" w:color="000000" w:sz="0"/>
              <w:bottom w:val="none" w:color="000000" w:sz="0"/>
              <w:right w:val="none" w:color="000000" w:sz="0"/>
            </w:tcBorders>
            <w:vAlign w:val="top"/>
          </w:tcPr>
          <w:p>
            <w:r>
              <w:t xml:space="preserve">Normal range 18.50 - 24.99 Average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w:t>
            </w:r>
          </w:p>
        </w:tc>
        <w:tc>
          <w:tcPr>
            <w:tcBorders>
              <w:top w:val="none" w:color="000000" w:sz="0"/>
              <w:left w:val="none" w:color="000000" w:sz="0"/>
              <w:bottom w:val="none" w:color="000000" w:sz="0"/>
              <w:right w:val="none" w:color="000000" w:sz="0"/>
            </w:tcBorders>
            <w:vAlign w:val="top"/>
          </w:tcPr>
          <w:p>
            <w:r>
              <w:t xml:space="preserve">Overweight ≥ 25.00 Average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2.1</w:t>
            </w:r>
          </w:p>
        </w:tc>
        <w:tc>
          <w:tcPr>
            <w:tcBorders>
              <w:top w:val="none" w:color="000000" w:sz="0"/>
              <w:left w:val="none" w:color="000000" w:sz="0"/>
              <w:bottom w:val="none" w:color="000000" w:sz="0"/>
              <w:right w:val="none" w:color="000000" w:sz="0"/>
            </w:tcBorders>
            <w:vAlign w:val="top"/>
          </w:tcPr>
          <w:p>
            <w:r>
              <w:t xml:space="preserve">Overweight ≥ 25.0 Average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2.2</w:t>
            </w:r>
          </w:p>
        </w:tc>
        <w:tc>
          <w:tcPr>
            <w:tcBorders>
              <w:top w:val="none" w:color="000000" w:sz="0"/>
              <w:left w:val="none" w:color="000000" w:sz="0"/>
              <w:bottom w:val="none" w:color="000000" w:sz="0"/>
              <w:right w:val="none" w:color="000000" w:sz="0"/>
            </w:tcBorders>
            <w:vAlign w:val="top"/>
          </w:tcPr>
          <w:p>
            <w:r>
              <w:t xml:space="preserve">Pre Obese 25.00 - 29.99 Increased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3</w:t>
            </w:r>
          </w:p>
        </w:tc>
        <w:tc>
          <w:tcPr>
            <w:tcBorders>
              <w:top w:val="none" w:color="000000" w:sz="0"/>
              <w:left w:val="none" w:color="000000" w:sz="0"/>
              <w:bottom w:val="none" w:color="000000" w:sz="0"/>
              <w:right w:val="none" w:color="000000" w:sz="0"/>
            </w:tcBorders>
            <w:vAlign w:val="top"/>
          </w:tcPr>
          <w:p>
            <w:r>
              <w:t xml:space="preserve">Obese ≥ 30 Increased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3.1</w:t>
            </w:r>
          </w:p>
        </w:tc>
        <w:tc>
          <w:tcPr>
            <w:tcBorders>
              <w:top w:val="none" w:color="000000" w:sz="0"/>
              <w:left w:val="none" w:color="000000" w:sz="0"/>
              <w:bottom w:val="none" w:color="000000" w:sz="0"/>
              <w:right w:val="none" w:color="000000" w:sz="0"/>
            </w:tcBorders>
            <w:vAlign w:val="top"/>
          </w:tcPr>
          <w:p>
            <w:r>
              <w:t xml:space="preserve">Obese class 1 30.00 - 34.99 Moderate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3.2</w:t>
            </w:r>
          </w:p>
        </w:tc>
        <w:tc>
          <w:tcPr>
            <w:tcBorders>
              <w:top w:val="none" w:color="000000" w:sz="0"/>
              <w:left w:val="none" w:color="000000" w:sz="0"/>
              <w:bottom w:val="none" w:color="000000" w:sz="0"/>
              <w:right w:val="none" w:color="000000" w:sz="0"/>
            </w:tcBorders>
            <w:vAlign w:val="top"/>
          </w:tcPr>
          <w:p>
            <w:r>
              <w:t xml:space="preserve">Obese class 2 35.00 - 39.99 Severe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3.3</w:t>
            </w:r>
          </w:p>
        </w:tc>
        <w:tc>
          <w:tcPr>
            <w:tcBorders>
              <w:top w:val="none" w:color="000000" w:sz="0"/>
              <w:left w:val="none" w:color="000000" w:sz="0"/>
              <w:bottom w:val="none" w:color="000000" w:sz="0"/>
              <w:right w:val="none" w:color="000000" w:sz="0"/>
            </w:tcBorders>
            <w:vAlign w:val="top"/>
          </w:tcPr>
          <w:p>
            <w:r>
              <w:t xml:space="preserve">Obese class 3 ≥ 40.00 Very severe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Supplementary values:</w:t>
            </w:r>
          </w:p>
        </w:tc>
        <w:tc>
          <w:tcPr>
            <w:tcW w:w="1000" w:type="pct"/>
            <w:tcBorders>
              <w:top w:val="none" w:color="000000" w:sz="0"/>
              <w:left w:val="none" w:color="000000" w:sz="0"/>
              <w:bottom w:val="none" w:color="000000" w:sz="0"/>
              <w:right w:val="none" w:color="000000" w:sz="0"/>
            </w:tcBorders>
            <w:vAlign w:val="top"/>
          </w:tcPr>
          <w:p>
            <w:r>
              <w:t xml:space="preserve">9</w:t>
            </w:r>
            <w:r>
              <w:br/>
            </w:r>
            <w:r>
              <w:t xml:space="preserve"> </w:t>
            </w:r>
          </w:p>
        </w:tc>
        <w:tc>
          <w:tcPr>
            <w:tcBorders>
              <w:top w:val="none" w:color="000000" w:sz="0"/>
              <w:left w:val="none" w:color="000000" w:sz="0"/>
              <w:bottom w:val="none" w:color="000000" w:sz="0"/>
              <w:right w:val="none" w:color="000000" w:sz="0"/>
            </w:tcBorders>
            <w:vAlign w:val="top"/>
          </w:tcPr>
          <w:p>
            <w:r>
              <w:t xml:space="preserve">Not stated/inadequately described</w:t>
            </w:r>
            <w:r>
              <w:br/>
            </w:r>
            <w:r>
              <w:t xml:space="preserve"> </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Adults:</w:t>
            </w:r>
          </w:p>
          <w:p>
            <w:pPr>
              <w:spacing w:after="160"/>
            </w:pPr>
            <w:r>
              <w:rPr>
                <w:rStyle w:val="row-content-rich-text"/>
              </w:rPr>
              <w:t xml:space="preserve">Body mass index for adults cannot be calculated if components necessary for its calculation (weight or height) is unknown or has not been collected (i.e. is coded to 888.8 or 999.9).</w:t>
            </w:r>
          </w:p>
          <w:p>
            <w:pPr>
              <w:spacing w:after="160"/>
            </w:pPr>
            <w:r>
              <w:rPr>
                <w:rStyle w:val="row-content-rich-text"/>
              </w:rPr>
              <w:t xml:space="preserve">BMI for adults is categorised according to the range it falls within as indicated by codes 1.1, 1.2, 2.1, 2.2, 3.1, 3.2, 3.3 or 9. For consistency, when the sample includes children and adolescents, adults can be analysed under the broader categories of 1, 2, 3 or 9 as used for categorising children and adolescents.</w:t>
            </w:r>
          </w:p>
          <w:p>
            <w:pPr>
              <w:spacing w:after="160"/>
            </w:pPr>
            <w:r>
              <w:rPr>
                <w:rStyle w:val="row-content-rich-text"/>
              </w:rPr>
              <w:t xml:space="preserve">Children/adolescents:</w:t>
            </w:r>
          </w:p>
          <w:p>
            <w:pPr>
              <w:spacing w:after="160"/>
            </w:pPr>
            <w:r>
              <w:rPr>
                <w:rStyle w:val="row-content-rich-text"/>
              </w:rPr>
              <w:t xml:space="preserve">Body mass index for children and adolescents aged 2 to 17 years cannot be calculated if components necessary for its calculation (date of birth, sex, weight or height) is unknown or has not been collected (i.e. is coded to 888.8, 999.9 or 9).</w:t>
            </w:r>
          </w:p>
          <w:p>
            <w:pPr>
              <w:spacing w:after="160"/>
            </w:pPr>
            <w:r>
              <w:rPr>
                <w:rStyle w:val="row-content-rich-text"/>
              </w:rPr>
              <w:t xml:space="preserve">Self-reported or parentally reported height and weight for children and adolescents should be used cautiously if at all.</w:t>
            </w:r>
          </w:p>
          <w:p>
            <w:pPr>
              <w:spacing w:after="160"/>
            </w:pPr>
            <w:r>
              <w:rPr>
                <w:rStyle w:val="row-content-rich-text"/>
              </w:rPr>
              <w:t xml:space="preserve">To determine overweight and obesity in children and adolescents, compare the derived BMI against those recorded for the relevant age and sex of the subject to be classified, against Table 1: Classification of BMI for children and adolescents, based on BMI cut-points developed by Cole et al (2000). For example, an 11 year old boy with a BMI of 21 would be considered overweight (i.e. coded as 2), or a 7 year old girl with a BMI of 17.5 would be considered not overweight or obese (i.e. coded as 1).</w:t>
            </w:r>
          </w:p>
          <w:p>
            <w:pPr/>
            <w:r>
              <w:rPr>
                <w:rStyle w:val="row-content-rich-text"/>
              </w:rPr>
              <w:t xml:space="preserve">Using this method, children and adolescents can only be coded as 1, 2, 3 or 9.</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Collection methods: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Use N for BMI category determined (1, 2, 3 or 9) for persons (children and adolescents) aged 2 to 17 years.</w:t>
            </w:r>
          </w:p>
          <w:p>
            <w:pPr>
              <w:spacing w:after="160"/>
            </w:pPr>
            <w:r>
              <w:rPr>
                <w:rStyle w:val="row-content-rich-text"/>
              </w:rPr>
              <w:t xml:space="preserve">Use N.N for BMI category determined (1.1, 1.2, 2.1, 2.2, 3.1, 3.2, 3.3 or 9) for persons aged 18 years or older.</w:t>
            </w:r>
          </w:p>
          <w:p>
            <w:pPr/>
            <w:r>
              <w:rPr>
                <w:rStyle w:val="row-content-rich-text"/>
              </w:rPr>
              <w:t xml:space="preserve">Standard definitions of overweight and obesity in terms of BMI are used to derive age-specific and age-adjusted indicators of overweight and obesity for reporting progress towards National public health policy.</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Reference documents:</w:t>
            </w:r>
          </w:p>
        </w:tc>
        <w:tc>
          <w:tcPr>
            <w:tcBorders>
              <w:top w:val="none" w:color="000000" w:sz="0"/>
              <w:left w:val="none" w:color="000000" w:sz="0"/>
              <w:bottom w:val="none" w:color="000000" w:sz="0"/>
              <w:right w:val="none" w:color="000000" w:sz="0"/>
            </w:tcBorders>
            <w:vAlign w:val="top"/>
          </w:tcPr>
          <w:p>
            <w:pPr/>
            <w:r>
              <w:rPr>
                <w:rStyle w:val="row-content-rich-text"/>
              </w:rPr>
              <w:t xml:space="preserve">Cole TJ, Bellizi MC, Flegal KM, Dietz WH 2000. Establishing a standard definition for child overweight and obesity worldwide: international survey. British Medical Journal 320: 1240-1243</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tbl>
            <w:tblPr>
              <w:tblStyle w:val="TableGrid"/>
              <w:tblW w:w="5000" w:type="pct"/>
              <w:tblLayout w:type="autofit"/>
            </w:tblPr>
            <w:tblGrid>
              <w:gridCol/>
              <w:gridCol/>
              <w:gridCol/>
              <w:gridCol/>
              <w:gridCol/>
            </w:tblGrid>
            <w:tr>
              <w:trPr/>
              <w:tc>
                <w:tcPr>
                  <w:tcW w:w="900" w:type="pct"/>
                  <w:gridSpan w:val="5"/>
                  <w:vAlign w:val="top"/>
                </w:tcPr>
                <w:p>
                  <w:pPr/>
                  <w:r>
                    <w:rPr>
                      <w:rStyle w:val="row-content-rich-text"/>
                    </w:rPr>
                    <w:t xml:space="preserve">Table 1: Classification of overweight and obesity for children and adolescents</w:t>
                  </w:r>
                </w:p>
              </w:tc>
            </w:tr>
            <w:tr>
              <w:trPr/>
              <w:tc>
                <w:tcPr>
                  <w:tcW w:w="900" w:type="pct"/>
                  <w:vMerge w:val="restart"/>
                  <w:vAlign w:val="top"/>
                </w:tcPr>
                <w:p>
                  <w:r>
                    <w:t xml:space="preserve">Age(years)</w:t>
                  </w:r>
                </w:p>
              </w:tc>
              <w:tc>
                <w:tcPr>
                  <w:tcW w:w="1050" w:type="pct"/>
                  <w:gridSpan w:val="2"/>
                  <w:vAlign w:val="top"/>
                </w:tcPr>
                <w:p>
                  <w:r>
                    <w:t xml:space="preserve">BMI equivalent to 25 kg/m2</w:t>
                  </w:r>
                </w:p>
              </w:tc>
              <w:tc>
                <w:tcPr>
                  <w:tcW w:w="1050" w:type="pct"/>
                  <w:gridSpan w:val="2"/>
                  <w:vAlign w:val="top"/>
                </w:tcPr>
                <w:p>
                  <w:r>
                    <w:t xml:space="preserve">BMI equivalent to 30 kg/m2</w:t>
                  </w:r>
                </w:p>
              </w:tc>
            </w:tr>
            <w:tr>
              <w:trPr/>
              <w:tc>
                <w:tcPr>
                  <w:tcW w:w="900" w:type="pct"/>
                  <w:vMerge/>
                </w:tcPr>
                <w:p/>
              </w:tc>
              <w:tc>
                <w:tcPr>
                  <w:tcW w:w="1050" w:type="pct"/>
                  <w:vAlign w:val="top"/>
                </w:tcPr>
                <w:p>
                  <w:r>
                    <w:t xml:space="preserve">Males</w:t>
                  </w:r>
                </w:p>
              </w:tc>
              <w:tc>
                <w:tcPr>
                  <w:tcW w:w="1050" w:type="pct"/>
                  <w:vAlign w:val="top"/>
                </w:tcPr>
                <w:p>
                  <w:r>
                    <w:t xml:space="preserve">Females</w:t>
                  </w:r>
                </w:p>
              </w:tc>
              <w:tc>
                <w:tcPr>
                  <w:tcW w:w="900" w:type="pct"/>
                  <w:vAlign w:val="top"/>
                </w:tcPr>
                <w:p>
                  <w:r>
                    <w:t xml:space="preserve">Males</w:t>
                  </w:r>
                </w:p>
              </w:tc>
              <w:tc>
                <w:tcPr>
                  <w:tcW w:w="900" w:type="pct"/>
                  <w:vAlign w:val="top"/>
                </w:tcPr>
                <w:p>
                  <w:r>
                    <w:t xml:space="preserve">Females</w:t>
                  </w:r>
                </w:p>
              </w:tc>
            </w:tr>
            <w:tr>
              <w:trPr/>
              <w:tc>
                <w:tcPr>
                  <w:tcW w:w="900" w:type="pct"/>
                  <w:vAlign w:val="top"/>
                </w:tcPr>
                <w:p>
                  <w:r>
                    <w:t xml:space="preserve">2</w:t>
                  </w:r>
                </w:p>
              </w:tc>
              <w:tc>
                <w:tcPr>
                  <w:tcW w:w="1050" w:type="pct"/>
                  <w:vAlign w:val="top"/>
                </w:tcPr>
                <w:p>
                  <w:r>
                    <w:t xml:space="preserve">18.41</w:t>
                  </w:r>
                </w:p>
              </w:tc>
              <w:tc>
                <w:tcPr>
                  <w:tcW w:w="1050" w:type="pct"/>
                  <w:vAlign w:val="top"/>
                </w:tcPr>
                <w:p>
                  <w:r>
                    <w:t xml:space="preserve">18.02</w:t>
                  </w:r>
                </w:p>
              </w:tc>
              <w:tc>
                <w:tcPr>
                  <w:tcW w:w="900" w:type="pct"/>
                  <w:vAlign w:val="top"/>
                </w:tcPr>
                <w:p>
                  <w:r>
                    <w:t xml:space="preserve">20.09</w:t>
                  </w:r>
                </w:p>
              </w:tc>
              <w:tc>
                <w:tcPr>
                  <w:tcW w:w="900" w:type="pct"/>
                  <w:vAlign w:val="top"/>
                </w:tcPr>
                <w:p>
                  <w:r>
                    <w:t xml:space="preserve">19.81</w:t>
                  </w:r>
                </w:p>
              </w:tc>
            </w:tr>
            <w:tr>
              <w:trPr/>
              <w:tc>
                <w:tcPr>
                  <w:tcW w:w="900" w:type="pct"/>
                  <w:vAlign w:val="top"/>
                </w:tcPr>
                <w:p>
                  <w:r>
                    <w:t xml:space="preserve">2.5</w:t>
                  </w:r>
                </w:p>
              </w:tc>
              <w:tc>
                <w:tcPr>
                  <w:tcW w:w="1050" w:type="pct"/>
                  <w:vAlign w:val="top"/>
                </w:tcPr>
                <w:p>
                  <w:r>
                    <w:t xml:space="preserve">18.13</w:t>
                  </w:r>
                </w:p>
              </w:tc>
              <w:tc>
                <w:tcPr>
                  <w:tcW w:w="1050" w:type="pct"/>
                  <w:vAlign w:val="top"/>
                </w:tcPr>
                <w:p>
                  <w:r>
                    <w:t xml:space="preserve">17.76</w:t>
                  </w:r>
                </w:p>
              </w:tc>
              <w:tc>
                <w:tcPr>
                  <w:tcW w:w="900" w:type="pct"/>
                  <w:vAlign w:val="top"/>
                </w:tcPr>
                <w:p>
                  <w:r>
                    <w:t xml:space="preserve">19.80</w:t>
                  </w:r>
                </w:p>
              </w:tc>
              <w:tc>
                <w:tcPr>
                  <w:tcW w:w="900" w:type="pct"/>
                  <w:vAlign w:val="top"/>
                </w:tcPr>
                <w:p>
                  <w:r>
                    <w:t xml:space="preserve">19.55</w:t>
                  </w:r>
                </w:p>
              </w:tc>
            </w:tr>
            <w:tr>
              <w:trPr/>
              <w:tc>
                <w:tcPr>
                  <w:tcW w:w="900" w:type="pct"/>
                  <w:vAlign w:val="top"/>
                </w:tcPr>
                <w:p>
                  <w:r>
                    <w:t xml:space="preserve">3</w:t>
                  </w:r>
                </w:p>
              </w:tc>
              <w:tc>
                <w:tcPr>
                  <w:tcW w:w="1050" w:type="pct"/>
                  <w:vAlign w:val="top"/>
                </w:tcPr>
                <w:p>
                  <w:r>
                    <w:t xml:space="preserve">17.89</w:t>
                  </w:r>
                </w:p>
              </w:tc>
              <w:tc>
                <w:tcPr>
                  <w:tcW w:w="1050" w:type="pct"/>
                  <w:vAlign w:val="top"/>
                </w:tcPr>
                <w:p>
                  <w:r>
                    <w:t xml:space="preserve">17.56</w:t>
                  </w:r>
                </w:p>
              </w:tc>
              <w:tc>
                <w:tcPr>
                  <w:tcW w:w="900" w:type="pct"/>
                  <w:vAlign w:val="top"/>
                </w:tcPr>
                <w:p>
                  <w:r>
                    <w:t xml:space="preserve">19.57</w:t>
                  </w:r>
                </w:p>
              </w:tc>
              <w:tc>
                <w:tcPr>
                  <w:tcW w:w="900" w:type="pct"/>
                  <w:vAlign w:val="top"/>
                </w:tcPr>
                <w:p>
                  <w:r>
                    <w:t xml:space="preserve">19.36</w:t>
                  </w:r>
                </w:p>
              </w:tc>
            </w:tr>
            <w:tr>
              <w:trPr/>
              <w:tc>
                <w:tcPr>
                  <w:tcW w:w="900" w:type="pct"/>
                  <w:vAlign w:val="top"/>
                </w:tcPr>
                <w:p>
                  <w:r>
                    <w:t xml:space="preserve">3.5</w:t>
                  </w:r>
                </w:p>
              </w:tc>
              <w:tc>
                <w:tcPr>
                  <w:tcW w:w="1050" w:type="pct"/>
                  <w:vAlign w:val="top"/>
                </w:tcPr>
                <w:p>
                  <w:r>
                    <w:t xml:space="preserve">17.69</w:t>
                  </w:r>
                </w:p>
              </w:tc>
              <w:tc>
                <w:tcPr>
                  <w:tcW w:w="1050" w:type="pct"/>
                  <w:vAlign w:val="top"/>
                </w:tcPr>
                <w:p>
                  <w:r>
                    <w:t xml:space="preserve">17.40</w:t>
                  </w:r>
                </w:p>
              </w:tc>
              <w:tc>
                <w:tcPr>
                  <w:tcW w:w="900" w:type="pct"/>
                  <w:vAlign w:val="top"/>
                </w:tcPr>
                <w:p>
                  <w:r>
                    <w:t xml:space="preserve">19.39</w:t>
                  </w:r>
                </w:p>
              </w:tc>
              <w:tc>
                <w:tcPr>
                  <w:tcW w:w="900" w:type="pct"/>
                  <w:vAlign w:val="top"/>
                </w:tcPr>
                <w:p>
                  <w:r>
                    <w:t xml:space="preserve">19.23</w:t>
                  </w:r>
                </w:p>
              </w:tc>
            </w:tr>
            <w:tr>
              <w:trPr/>
              <w:tc>
                <w:tcPr>
                  <w:tcW w:w="900" w:type="pct"/>
                  <w:vAlign w:val="top"/>
                </w:tcPr>
                <w:p>
                  <w:r>
                    <w:t xml:space="preserve">4</w:t>
                  </w:r>
                </w:p>
              </w:tc>
              <w:tc>
                <w:tcPr>
                  <w:tcW w:w="1050" w:type="pct"/>
                  <w:vAlign w:val="top"/>
                </w:tcPr>
                <w:p>
                  <w:r>
                    <w:t xml:space="preserve">17.55</w:t>
                  </w:r>
                </w:p>
              </w:tc>
              <w:tc>
                <w:tcPr>
                  <w:tcW w:w="1050" w:type="pct"/>
                  <w:vAlign w:val="top"/>
                </w:tcPr>
                <w:p>
                  <w:r>
                    <w:t xml:space="preserve">17.28</w:t>
                  </w:r>
                </w:p>
              </w:tc>
              <w:tc>
                <w:tcPr>
                  <w:tcW w:w="900" w:type="pct"/>
                  <w:vAlign w:val="top"/>
                </w:tcPr>
                <w:p>
                  <w:r>
                    <w:t xml:space="preserve">19.29</w:t>
                  </w:r>
                </w:p>
              </w:tc>
              <w:tc>
                <w:tcPr>
                  <w:tcW w:w="900" w:type="pct"/>
                  <w:vAlign w:val="top"/>
                </w:tcPr>
                <w:p>
                  <w:r>
                    <w:t xml:space="preserve">19.15</w:t>
                  </w:r>
                </w:p>
              </w:tc>
            </w:tr>
            <w:tr>
              <w:trPr/>
              <w:tc>
                <w:tcPr>
                  <w:tcW w:w="900" w:type="pct"/>
                  <w:vAlign w:val="top"/>
                </w:tcPr>
                <w:p>
                  <w:r>
                    <w:t xml:space="preserve">4.5</w:t>
                  </w:r>
                </w:p>
              </w:tc>
              <w:tc>
                <w:tcPr>
                  <w:tcW w:w="1050" w:type="pct"/>
                  <w:vAlign w:val="top"/>
                </w:tcPr>
                <w:p>
                  <w:r>
                    <w:t xml:space="preserve">17.47</w:t>
                  </w:r>
                </w:p>
              </w:tc>
              <w:tc>
                <w:tcPr>
                  <w:tcW w:w="1050" w:type="pct"/>
                  <w:vAlign w:val="top"/>
                </w:tcPr>
                <w:p>
                  <w:r>
                    <w:t xml:space="preserve">17.19</w:t>
                  </w:r>
                </w:p>
              </w:tc>
              <w:tc>
                <w:tcPr>
                  <w:tcW w:w="900" w:type="pct"/>
                  <w:vAlign w:val="top"/>
                </w:tcPr>
                <w:p>
                  <w:r>
                    <w:t xml:space="preserve">19.26</w:t>
                  </w:r>
                </w:p>
              </w:tc>
              <w:tc>
                <w:tcPr>
                  <w:tcW w:w="900" w:type="pct"/>
                  <w:vAlign w:val="top"/>
                </w:tcPr>
                <w:p>
                  <w:r>
                    <w:t xml:space="preserve">19.12</w:t>
                  </w:r>
                </w:p>
              </w:tc>
            </w:tr>
            <w:tr>
              <w:trPr/>
              <w:tc>
                <w:tcPr>
                  <w:tcW w:w="900" w:type="pct"/>
                  <w:vAlign w:val="top"/>
                </w:tcPr>
                <w:p>
                  <w:r>
                    <w:t xml:space="preserve">5</w:t>
                  </w:r>
                </w:p>
              </w:tc>
              <w:tc>
                <w:tcPr>
                  <w:tcW w:w="1050" w:type="pct"/>
                  <w:vAlign w:val="top"/>
                </w:tcPr>
                <w:p>
                  <w:r>
                    <w:t xml:space="preserve">17.42</w:t>
                  </w:r>
                </w:p>
              </w:tc>
              <w:tc>
                <w:tcPr>
                  <w:tcW w:w="1050" w:type="pct"/>
                  <w:vAlign w:val="top"/>
                </w:tcPr>
                <w:p>
                  <w:r>
                    <w:t xml:space="preserve">17.15</w:t>
                  </w:r>
                </w:p>
              </w:tc>
              <w:tc>
                <w:tcPr>
                  <w:tcW w:w="900" w:type="pct"/>
                  <w:vAlign w:val="top"/>
                </w:tcPr>
                <w:p>
                  <w:r>
                    <w:t xml:space="preserve">19.30</w:t>
                  </w:r>
                </w:p>
              </w:tc>
              <w:tc>
                <w:tcPr>
                  <w:tcW w:w="900" w:type="pct"/>
                  <w:vAlign w:val="top"/>
                </w:tcPr>
                <w:p>
                  <w:r>
                    <w:t xml:space="preserve">19.17</w:t>
                  </w:r>
                </w:p>
              </w:tc>
            </w:tr>
            <w:tr>
              <w:trPr/>
              <w:tc>
                <w:tcPr>
                  <w:tcW w:w="900" w:type="pct"/>
                  <w:vAlign w:val="top"/>
                </w:tcPr>
                <w:p>
                  <w:r>
                    <w:t xml:space="preserve">5.5</w:t>
                  </w:r>
                </w:p>
              </w:tc>
              <w:tc>
                <w:tcPr>
                  <w:tcW w:w="1050" w:type="pct"/>
                  <w:vAlign w:val="top"/>
                </w:tcPr>
                <w:p>
                  <w:r>
                    <w:t xml:space="preserve">17.45</w:t>
                  </w:r>
                </w:p>
              </w:tc>
              <w:tc>
                <w:tcPr>
                  <w:tcW w:w="1050" w:type="pct"/>
                  <w:vAlign w:val="top"/>
                </w:tcPr>
                <w:p>
                  <w:r>
                    <w:t xml:space="preserve">17.20</w:t>
                  </w:r>
                </w:p>
              </w:tc>
              <w:tc>
                <w:tcPr>
                  <w:tcW w:w="900" w:type="pct"/>
                  <w:vAlign w:val="top"/>
                </w:tcPr>
                <w:p>
                  <w:r>
                    <w:t xml:space="preserve">19.47</w:t>
                  </w:r>
                </w:p>
              </w:tc>
              <w:tc>
                <w:tcPr>
                  <w:tcW w:w="900" w:type="pct"/>
                  <w:vAlign w:val="top"/>
                </w:tcPr>
                <w:p>
                  <w:r>
                    <w:t xml:space="preserve">19.34</w:t>
                  </w:r>
                </w:p>
              </w:tc>
            </w:tr>
            <w:tr>
              <w:trPr/>
              <w:tc>
                <w:tcPr>
                  <w:tcW w:w="900" w:type="pct"/>
                  <w:vAlign w:val="top"/>
                </w:tcPr>
                <w:p>
                  <w:r>
                    <w:t xml:space="preserve">6</w:t>
                  </w:r>
                </w:p>
              </w:tc>
              <w:tc>
                <w:tcPr>
                  <w:tcW w:w="1050" w:type="pct"/>
                  <w:vAlign w:val="top"/>
                </w:tcPr>
                <w:p>
                  <w:r>
                    <w:t xml:space="preserve">17.55</w:t>
                  </w:r>
                </w:p>
              </w:tc>
              <w:tc>
                <w:tcPr>
                  <w:tcW w:w="1050" w:type="pct"/>
                  <w:vAlign w:val="top"/>
                </w:tcPr>
                <w:p>
                  <w:r>
                    <w:t xml:space="preserve">17.34</w:t>
                  </w:r>
                </w:p>
              </w:tc>
              <w:tc>
                <w:tcPr>
                  <w:tcW w:w="900" w:type="pct"/>
                  <w:vAlign w:val="top"/>
                </w:tcPr>
                <w:p>
                  <w:r>
                    <w:t xml:space="preserve">19.78</w:t>
                  </w:r>
                </w:p>
              </w:tc>
              <w:tc>
                <w:tcPr>
                  <w:tcW w:w="900" w:type="pct"/>
                  <w:vAlign w:val="top"/>
                </w:tcPr>
                <w:p>
                  <w:r>
                    <w:t xml:space="preserve">19.65</w:t>
                  </w:r>
                </w:p>
              </w:tc>
            </w:tr>
            <w:tr>
              <w:trPr/>
              <w:tc>
                <w:tcPr>
                  <w:tcW w:w="900" w:type="pct"/>
                  <w:vAlign w:val="top"/>
                </w:tcPr>
                <w:p>
                  <w:r>
                    <w:t xml:space="preserve">6.5</w:t>
                  </w:r>
                </w:p>
              </w:tc>
              <w:tc>
                <w:tcPr>
                  <w:tcW w:w="1050" w:type="pct"/>
                  <w:vAlign w:val="top"/>
                </w:tcPr>
                <w:p>
                  <w:r>
                    <w:t xml:space="preserve">17.71</w:t>
                  </w:r>
                </w:p>
              </w:tc>
              <w:tc>
                <w:tcPr>
                  <w:tcW w:w="1050" w:type="pct"/>
                  <w:vAlign w:val="top"/>
                </w:tcPr>
                <w:p>
                  <w:r>
                    <w:t xml:space="preserve">17.53</w:t>
                  </w:r>
                </w:p>
              </w:tc>
              <w:tc>
                <w:tcPr>
                  <w:tcW w:w="900" w:type="pct"/>
                  <w:vAlign w:val="top"/>
                </w:tcPr>
                <w:p>
                  <w:r>
                    <w:t xml:space="preserve">20.23</w:t>
                  </w:r>
                </w:p>
              </w:tc>
              <w:tc>
                <w:tcPr>
                  <w:tcW w:w="900" w:type="pct"/>
                  <w:vAlign w:val="top"/>
                </w:tcPr>
                <w:p>
                  <w:r>
                    <w:t xml:space="preserve">20.08</w:t>
                  </w:r>
                </w:p>
              </w:tc>
            </w:tr>
            <w:tr>
              <w:trPr/>
              <w:tc>
                <w:tcPr>
                  <w:tcW w:w="900" w:type="pct"/>
                  <w:vAlign w:val="top"/>
                </w:tcPr>
                <w:p>
                  <w:r>
                    <w:t xml:space="preserve">7</w:t>
                  </w:r>
                </w:p>
              </w:tc>
              <w:tc>
                <w:tcPr>
                  <w:tcW w:w="1050" w:type="pct"/>
                  <w:vAlign w:val="top"/>
                </w:tcPr>
                <w:p>
                  <w:r>
                    <w:t xml:space="preserve">17.92</w:t>
                  </w:r>
                </w:p>
              </w:tc>
              <w:tc>
                <w:tcPr>
                  <w:tcW w:w="1050" w:type="pct"/>
                  <w:vAlign w:val="top"/>
                </w:tcPr>
                <w:p>
                  <w:r>
                    <w:t xml:space="preserve">17.75</w:t>
                  </w:r>
                </w:p>
              </w:tc>
              <w:tc>
                <w:tcPr>
                  <w:tcW w:w="900" w:type="pct"/>
                  <w:vAlign w:val="top"/>
                </w:tcPr>
                <w:p>
                  <w:r>
                    <w:t xml:space="preserve">20.63</w:t>
                  </w:r>
                </w:p>
              </w:tc>
              <w:tc>
                <w:tcPr>
                  <w:tcW w:w="900" w:type="pct"/>
                  <w:vAlign w:val="top"/>
                </w:tcPr>
                <w:p>
                  <w:r>
                    <w:t xml:space="preserve">20.51</w:t>
                  </w:r>
                </w:p>
              </w:tc>
            </w:tr>
            <w:tr>
              <w:trPr/>
              <w:tc>
                <w:tcPr>
                  <w:tcW w:w="900" w:type="pct"/>
                  <w:vAlign w:val="top"/>
                </w:tcPr>
                <w:p>
                  <w:r>
                    <w:t xml:space="preserve">7.5</w:t>
                  </w:r>
                </w:p>
              </w:tc>
              <w:tc>
                <w:tcPr>
                  <w:tcW w:w="1050" w:type="pct"/>
                  <w:vAlign w:val="top"/>
                </w:tcPr>
                <w:p>
                  <w:r>
                    <w:t xml:space="preserve">18.16</w:t>
                  </w:r>
                </w:p>
              </w:tc>
              <w:tc>
                <w:tcPr>
                  <w:tcW w:w="1050" w:type="pct"/>
                  <w:vAlign w:val="top"/>
                </w:tcPr>
                <w:p>
                  <w:r>
                    <w:t xml:space="preserve">18.03</w:t>
                  </w:r>
                </w:p>
              </w:tc>
              <w:tc>
                <w:tcPr>
                  <w:tcW w:w="900" w:type="pct"/>
                  <w:vAlign w:val="top"/>
                </w:tcPr>
                <w:p>
                  <w:r>
                    <w:t xml:space="preserve">21.09</w:t>
                  </w:r>
                </w:p>
              </w:tc>
              <w:tc>
                <w:tcPr>
                  <w:tcW w:w="900" w:type="pct"/>
                  <w:vAlign w:val="top"/>
                </w:tcPr>
                <w:p>
                  <w:r>
                    <w:t xml:space="preserve">21.01</w:t>
                  </w:r>
                </w:p>
              </w:tc>
            </w:tr>
            <w:tr>
              <w:trPr/>
              <w:tc>
                <w:tcPr>
                  <w:tcW w:w="900" w:type="pct"/>
                  <w:vAlign w:val="top"/>
                </w:tcPr>
                <w:p>
                  <w:r>
                    <w:t xml:space="preserve">8</w:t>
                  </w:r>
                </w:p>
              </w:tc>
              <w:tc>
                <w:tcPr>
                  <w:tcW w:w="1050" w:type="pct"/>
                  <w:vAlign w:val="top"/>
                </w:tcPr>
                <w:p>
                  <w:r>
                    <w:t xml:space="preserve">18.44</w:t>
                  </w:r>
                </w:p>
              </w:tc>
              <w:tc>
                <w:tcPr>
                  <w:tcW w:w="1050" w:type="pct"/>
                  <w:vAlign w:val="top"/>
                </w:tcPr>
                <w:p>
                  <w:r>
                    <w:t xml:space="preserve">18.35</w:t>
                  </w:r>
                </w:p>
              </w:tc>
              <w:tc>
                <w:tcPr>
                  <w:tcW w:w="900" w:type="pct"/>
                  <w:vAlign w:val="top"/>
                </w:tcPr>
                <w:p>
                  <w:r>
                    <w:t xml:space="preserve">21.60</w:t>
                  </w:r>
                </w:p>
              </w:tc>
              <w:tc>
                <w:tcPr>
                  <w:tcW w:w="900" w:type="pct"/>
                  <w:vAlign w:val="top"/>
                </w:tcPr>
                <w:p>
                  <w:r>
                    <w:t xml:space="preserve">21.57</w:t>
                  </w:r>
                </w:p>
              </w:tc>
            </w:tr>
            <w:tr>
              <w:trPr/>
              <w:tc>
                <w:tcPr>
                  <w:tcW w:w="900" w:type="pct"/>
                  <w:vAlign w:val="top"/>
                </w:tcPr>
                <w:p>
                  <w:r>
                    <w:t xml:space="preserve">8.5</w:t>
                  </w:r>
                </w:p>
              </w:tc>
              <w:tc>
                <w:tcPr>
                  <w:tcW w:w="1050" w:type="pct"/>
                  <w:vAlign w:val="top"/>
                </w:tcPr>
                <w:p>
                  <w:r>
                    <w:t xml:space="preserve">18.76</w:t>
                  </w:r>
                </w:p>
              </w:tc>
              <w:tc>
                <w:tcPr>
                  <w:tcW w:w="1050" w:type="pct"/>
                  <w:vAlign w:val="top"/>
                </w:tcPr>
                <w:p>
                  <w:r>
                    <w:t xml:space="preserve">18.69</w:t>
                  </w:r>
                </w:p>
              </w:tc>
              <w:tc>
                <w:tcPr>
                  <w:tcW w:w="900" w:type="pct"/>
                  <w:vAlign w:val="top"/>
                </w:tcPr>
                <w:p>
                  <w:r>
                    <w:t xml:space="preserve">22.17</w:t>
                  </w:r>
                </w:p>
              </w:tc>
              <w:tc>
                <w:tcPr>
                  <w:tcW w:w="900" w:type="pct"/>
                  <w:vAlign w:val="top"/>
                </w:tcPr>
                <w:p>
                  <w:r>
                    <w:t xml:space="preserve">22.18</w:t>
                  </w:r>
                </w:p>
              </w:tc>
            </w:tr>
            <w:tr>
              <w:trPr/>
              <w:tc>
                <w:tcPr>
                  <w:tcW w:w="900" w:type="pct"/>
                  <w:vAlign w:val="top"/>
                </w:tcPr>
                <w:p>
                  <w:r>
                    <w:t xml:space="preserve">9</w:t>
                  </w:r>
                </w:p>
              </w:tc>
              <w:tc>
                <w:tcPr>
                  <w:tcW w:w="1050" w:type="pct"/>
                  <w:vAlign w:val="top"/>
                </w:tcPr>
                <w:p>
                  <w:r>
                    <w:t xml:space="preserve">19.10</w:t>
                  </w:r>
                </w:p>
              </w:tc>
              <w:tc>
                <w:tcPr>
                  <w:tcW w:w="1050" w:type="pct"/>
                  <w:vAlign w:val="top"/>
                </w:tcPr>
                <w:p>
                  <w:r>
                    <w:t xml:space="preserve">19.07</w:t>
                  </w:r>
                </w:p>
              </w:tc>
              <w:tc>
                <w:tcPr>
                  <w:tcW w:w="900" w:type="pct"/>
                  <w:vAlign w:val="top"/>
                </w:tcPr>
                <w:p>
                  <w:r>
                    <w:t xml:space="preserve">22.77</w:t>
                  </w:r>
                </w:p>
              </w:tc>
              <w:tc>
                <w:tcPr>
                  <w:tcW w:w="900" w:type="pct"/>
                  <w:vAlign w:val="top"/>
                </w:tcPr>
                <w:p>
                  <w:r>
                    <w:t xml:space="preserve">22.81</w:t>
                  </w:r>
                </w:p>
              </w:tc>
            </w:tr>
            <w:tr>
              <w:trPr/>
              <w:tc>
                <w:tcPr>
                  <w:tcW w:w="900" w:type="pct"/>
                  <w:vAlign w:val="top"/>
                </w:tcPr>
                <w:p>
                  <w:r>
                    <w:t xml:space="preserve">9.5</w:t>
                  </w:r>
                </w:p>
              </w:tc>
              <w:tc>
                <w:tcPr>
                  <w:tcW w:w="1050" w:type="pct"/>
                  <w:vAlign w:val="top"/>
                </w:tcPr>
                <w:p>
                  <w:r>
                    <w:t xml:space="preserve">19.46</w:t>
                  </w:r>
                </w:p>
              </w:tc>
              <w:tc>
                <w:tcPr>
                  <w:tcW w:w="1050" w:type="pct"/>
                  <w:vAlign w:val="top"/>
                </w:tcPr>
                <w:p>
                  <w:r>
                    <w:t xml:space="preserve">19.45</w:t>
                  </w:r>
                </w:p>
              </w:tc>
              <w:tc>
                <w:tcPr>
                  <w:tcW w:w="900" w:type="pct"/>
                  <w:vAlign w:val="top"/>
                </w:tcPr>
                <w:p>
                  <w:r>
                    <w:t xml:space="preserve">23.39</w:t>
                  </w:r>
                </w:p>
              </w:tc>
              <w:tc>
                <w:tcPr>
                  <w:tcW w:w="900" w:type="pct"/>
                  <w:vAlign w:val="top"/>
                </w:tcPr>
                <w:p>
                  <w:r>
                    <w:t xml:space="preserve">23.46</w:t>
                  </w:r>
                </w:p>
              </w:tc>
            </w:tr>
            <w:tr>
              <w:trPr/>
              <w:tc>
                <w:tcPr>
                  <w:tcW w:w="900" w:type="pct"/>
                  <w:vAlign w:val="top"/>
                </w:tcPr>
                <w:p>
                  <w:r>
                    <w:t xml:space="preserve">10</w:t>
                  </w:r>
                </w:p>
              </w:tc>
              <w:tc>
                <w:tcPr>
                  <w:tcW w:w="1050" w:type="pct"/>
                  <w:vAlign w:val="top"/>
                </w:tcPr>
                <w:p>
                  <w:r>
                    <w:t xml:space="preserve">19.84</w:t>
                  </w:r>
                </w:p>
              </w:tc>
              <w:tc>
                <w:tcPr>
                  <w:tcW w:w="1050" w:type="pct"/>
                  <w:vAlign w:val="top"/>
                </w:tcPr>
                <w:p>
                  <w:r>
                    <w:t xml:space="preserve">19.86</w:t>
                  </w:r>
                </w:p>
              </w:tc>
              <w:tc>
                <w:tcPr>
                  <w:tcW w:w="900" w:type="pct"/>
                  <w:vAlign w:val="top"/>
                </w:tcPr>
                <w:p>
                  <w:r>
                    <w:t xml:space="preserve">24.00</w:t>
                  </w:r>
                </w:p>
              </w:tc>
              <w:tc>
                <w:tcPr>
                  <w:tcW w:w="900" w:type="pct"/>
                  <w:vAlign w:val="top"/>
                </w:tcPr>
                <w:p>
                  <w:r>
                    <w:t xml:space="preserve">24.11</w:t>
                  </w:r>
                </w:p>
              </w:tc>
            </w:tr>
            <w:tr>
              <w:trPr/>
              <w:tc>
                <w:tcPr>
                  <w:tcW w:w="900" w:type="pct"/>
                  <w:vAlign w:val="top"/>
                </w:tcPr>
                <w:p>
                  <w:r>
                    <w:t xml:space="preserve">10.5</w:t>
                  </w:r>
                </w:p>
              </w:tc>
              <w:tc>
                <w:tcPr>
                  <w:tcW w:w="1050" w:type="pct"/>
                  <w:vAlign w:val="top"/>
                </w:tcPr>
                <w:p>
                  <w:r>
                    <w:t xml:space="preserve">20.20</w:t>
                  </w:r>
                </w:p>
              </w:tc>
              <w:tc>
                <w:tcPr>
                  <w:tcW w:w="1050" w:type="pct"/>
                  <w:vAlign w:val="top"/>
                </w:tcPr>
                <w:p>
                  <w:r>
                    <w:t xml:space="preserve">20.29</w:t>
                  </w:r>
                </w:p>
              </w:tc>
              <w:tc>
                <w:tcPr>
                  <w:tcW w:w="900" w:type="pct"/>
                  <w:vAlign w:val="top"/>
                </w:tcPr>
                <w:p>
                  <w:r>
                    <w:t xml:space="preserve">24.57</w:t>
                  </w:r>
                </w:p>
              </w:tc>
              <w:tc>
                <w:tcPr>
                  <w:tcW w:w="900" w:type="pct"/>
                  <w:vAlign w:val="top"/>
                </w:tcPr>
                <w:p>
                  <w:r>
                    <w:t xml:space="preserve">24.77</w:t>
                  </w:r>
                </w:p>
              </w:tc>
            </w:tr>
            <w:tr>
              <w:trPr/>
              <w:tc>
                <w:tcPr>
                  <w:tcW w:w="900" w:type="pct"/>
                  <w:vAlign w:val="top"/>
                </w:tcPr>
                <w:p>
                  <w:r>
                    <w:t xml:space="preserve">11</w:t>
                  </w:r>
                </w:p>
              </w:tc>
              <w:tc>
                <w:tcPr>
                  <w:tcW w:w="1050" w:type="pct"/>
                  <w:vAlign w:val="top"/>
                </w:tcPr>
                <w:p>
                  <w:r>
                    <w:t xml:space="preserve">20.55</w:t>
                  </w:r>
                </w:p>
              </w:tc>
              <w:tc>
                <w:tcPr>
                  <w:tcW w:w="1050" w:type="pct"/>
                  <w:vAlign w:val="top"/>
                </w:tcPr>
                <w:p>
                  <w:r>
                    <w:t xml:space="preserve">20.74</w:t>
                  </w:r>
                </w:p>
              </w:tc>
              <w:tc>
                <w:tcPr>
                  <w:tcW w:w="900" w:type="pct"/>
                  <w:vAlign w:val="top"/>
                </w:tcPr>
                <w:p>
                  <w:r>
                    <w:t xml:space="preserve">25.10</w:t>
                  </w:r>
                </w:p>
              </w:tc>
              <w:tc>
                <w:tcPr>
                  <w:tcW w:w="900" w:type="pct"/>
                  <w:vAlign w:val="top"/>
                </w:tcPr>
                <w:p>
                  <w:r>
                    <w:t xml:space="preserve">25.42</w:t>
                  </w:r>
                </w:p>
              </w:tc>
            </w:tr>
            <w:tr>
              <w:trPr/>
              <w:tc>
                <w:tcPr>
                  <w:tcW w:w="900" w:type="pct"/>
                  <w:vAlign w:val="top"/>
                </w:tcPr>
                <w:p>
                  <w:r>
                    <w:t xml:space="preserve">11.5</w:t>
                  </w:r>
                </w:p>
              </w:tc>
              <w:tc>
                <w:tcPr>
                  <w:tcW w:w="1050" w:type="pct"/>
                  <w:vAlign w:val="top"/>
                </w:tcPr>
                <w:p>
                  <w:r>
                    <w:t xml:space="preserve">20.89</w:t>
                  </w:r>
                </w:p>
              </w:tc>
              <w:tc>
                <w:tcPr>
                  <w:tcW w:w="1050" w:type="pct"/>
                  <w:vAlign w:val="top"/>
                </w:tcPr>
                <w:p>
                  <w:r>
                    <w:t xml:space="preserve">21.20</w:t>
                  </w:r>
                </w:p>
              </w:tc>
              <w:tc>
                <w:tcPr>
                  <w:tcW w:w="900" w:type="pct"/>
                  <w:vAlign w:val="top"/>
                </w:tcPr>
                <w:p>
                  <w:r>
                    <w:t xml:space="preserve">25.58</w:t>
                  </w:r>
                </w:p>
              </w:tc>
              <w:tc>
                <w:tcPr>
                  <w:tcW w:w="900" w:type="pct"/>
                  <w:vAlign w:val="top"/>
                </w:tcPr>
                <w:p>
                  <w:r>
                    <w:t xml:space="preserve">26.05</w:t>
                  </w:r>
                </w:p>
              </w:tc>
            </w:tr>
            <w:tr>
              <w:trPr/>
              <w:tc>
                <w:tcPr>
                  <w:tcW w:w="900" w:type="pct"/>
                  <w:vAlign w:val="top"/>
                </w:tcPr>
                <w:p>
                  <w:r>
                    <w:t xml:space="preserve">12</w:t>
                  </w:r>
                </w:p>
              </w:tc>
              <w:tc>
                <w:tcPr>
                  <w:tcW w:w="1050" w:type="pct"/>
                  <w:vAlign w:val="top"/>
                </w:tcPr>
                <w:p>
                  <w:r>
                    <w:t xml:space="preserve">21.22</w:t>
                  </w:r>
                </w:p>
              </w:tc>
              <w:tc>
                <w:tcPr>
                  <w:tcW w:w="1050" w:type="pct"/>
                  <w:vAlign w:val="top"/>
                </w:tcPr>
                <w:p>
                  <w:r>
                    <w:t xml:space="preserve">21.68</w:t>
                  </w:r>
                </w:p>
              </w:tc>
              <w:tc>
                <w:tcPr>
                  <w:tcW w:w="900" w:type="pct"/>
                  <w:vAlign w:val="top"/>
                </w:tcPr>
                <w:p>
                  <w:r>
                    <w:t xml:space="preserve">26.02</w:t>
                  </w:r>
                </w:p>
              </w:tc>
              <w:tc>
                <w:tcPr>
                  <w:tcW w:w="900" w:type="pct"/>
                  <w:vAlign w:val="top"/>
                </w:tcPr>
                <w:p>
                  <w:r>
                    <w:t xml:space="preserve">26.67</w:t>
                  </w:r>
                </w:p>
              </w:tc>
            </w:tr>
            <w:tr>
              <w:trPr/>
              <w:tc>
                <w:tcPr>
                  <w:tcW w:w="900" w:type="pct"/>
                  <w:vAlign w:val="top"/>
                </w:tcPr>
                <w:p>
                  <w:r>
                    <w:t xml:space="preserve">12.5</w:t>
                  </w:r>
                </w:p>
              </w:tc>
              <w:tc>
                <w:tcPr>
                  <w:tcW w:w="1050" w:type="pct"/>
                  <w:vAlign w:val="top"/>
                </w:tcPr>
                <w:p>
                  <w:r>
                    <w:t xml:space="preserve">21.56</w:t>
                  </w:r>
                </w:p>
              </w:tc>
              <w:tc>
                <w:tcPr>
                  <w:tcW w:w="1050" w:type="pct"/>
                  <w:vAlign w:val="top"/>
                </w:tcPr>
                <w:p>
                  <w:r>
                    <w:t xml:space="preserve">22.14</w:t>
                  </w:r>
                </w:p>
              </w:tc>
              <w:tc>
                <w:tcPr>
                  <w:tcW w:w="900" w:type="pct"/>
                  <w:vAlign w:val="top"/>
                </w:tcPr>
                <w:p>
                  <w:r>
                    <w:t xml:space="preserve">26.43</w:t>
                  </w:r>
                </w:p>
              </w:tc>
              <w:tc>
                <w:tcPr>
                  <w:tcW w:w="900" w:type="pct"/>
                  <w:vAlign w:val="top"/>
                </w:tcPr>
                <w:p>
                  <w:r>
                    <w:t xml:space="preserve">27.24</w:t>
                  </w:r>
                </w:p>
              </w:tc>
            </w:tr>
            <w:tr>
              <w:trPr/>
              <w:tc>
                <w:tcPr>
                  <w:tcW w:w="900" w:type="pct"/>
                  <w:vAlign w:val="top"/>
                </w:tcPr>
                <w:p>
                  <w:r>
                    <w:t xml:space="preserve">13</w:t>
                  </w:r>
                </w:p>
              </w:tc>
              <w:tc>
                <w:tcPr>
                  <w:tcW w:w="1050" w:type="pct"/>
                  <w:vAlign w:val="top"/>
                </w:tcPr>
                <w:p>
                  <w:r>
                    <w:t xml:space="preserve">21.91</w:t>
                  </w:r>
                </w:p>
              </w:tc>
              <w:tc>
                <w:tcPr>
                  <w:tcW w:w="1050" w:type="pct"/>
                  <w:vAlign w:val="top"/>
                </w:tcPr>
                <w:p>
                  <w:r>
                    <w:t xml:space="preserve">22.58</w:t>
                  </w:r>
                </w:p>
              </w:tc>
              <w:tc>
                <w:tcPr>
                  <w:tcW w:w="900" w:type="pct"/>
                  <w:vAlign w:val="top"/>
                </w:tcPr>
                <w:p>
                  <w:r>
                    <w:t xml:space="preserve">26.84</w:t>
                  </w:r>
                </w:p>
              </w:tc>
              <w:tc>
                <w:tcPr>
                  <w:tcW w:w="900" w:type="pct"/>
                  <w:vAlign w:val="top"/>
                </w:tcPr>
                <w:p>
                  <w:r>
                    <w:t xml:space="preserve">27.76</w:t>
                  </w:r>
                </w:p>
              </w:tc>
            </w:tr>
            <w:tr>
              <w:trPr/>
              <w:tc>
                <w:tcPr>
                  <w:tcW w:w="900" w:type="pct"/>
                  <w:vAlign w:val="top"/>
                </w:tcPr>
                <w:p>
                  <w:r>
                    <w:t xml:space="preserve">13.5</w:t>
                  </w:r>
                </w:p>
              </w:tc>
              <w:tc>
                <w:tcPr>
                  <w:tcW w:w="1050" w:type="pct"/>
                  <w:vAlign w:val="top"/>
                </w:tcPr>
                <w:p>
                  <w:r>
                    <w:t xml:space="preserve">22.27</w:t>
                  </w:r>
                </w:p>
              </w:tc>
              <w:tc>
                <w:tcPr>
                  <w:tcW w:w="1050" w:type="pct"/>
                  <w:vAlign w:val="top"/>
                </w:tcPr>
                <w:p>
                  <w:r>
                    <w:t xml:space="preserve">22.98</w:t>
                  </w:r>
                </w:p>
              </w:tc>
              <w:tc>
                <w:tcPr>
                  <w:tcW w:w="900" w:type="pct"/>
                  <w:vAlign w:val="top"/>
                </w:tcPr>
                <w:p>
                  <w:r>
                    <w:t xml:space="preserve">27.25</w:t>
                  </w:r>
                </w:p>
              </w:tc>
              <w:tc>
                <w:tcPr>
                  <w:tcW w:w="900" w:type="pct"/>
                  <w:vAlign w:val="top"/>
                </w:tcPr>
                <w:p>
                  <w:r>
                    <w:t xml:space="preserve">28.20</w:t>
                  </w:r>
                </w:p>
              </w:tc>
            </w:tr>
            <w:tr>
              <w:trPr/>
              <w:tc>
                <w:tcPr>
                  <w:tcW w:w="900" w:type="pct"/>
                  <w:vAlign w:val="top"/>
                </w:tcPr>
                <w:p>
                  <w:r>
                    <w:t xml:space="preserve">14</w:t>
                  </w:r>
                </w:p>
              </w:tc>
              <w:tc>
                <w:tcPr>
                  <w:tcW w:w="1050" w:type="pct"/>
                  <w:vAlign w:val="top"/>
                </w:tcPr>
                <w:p>
                  <w:r>
                    <w:t xml:space="preserve">22.62</w:t>
                  </w:r>
                </w:p>
              </w:tc>
              <w:tc>
                <w:tcPr>
                  <w:tcW w:w="1050" w:type="pct"/>
                  <w:vAlign w:val="top"/>
                </w:tcPr>
                <w:p>
                  <w:r>
                    <w:t xml:space="preserve">23.34</w:t>
                  </w:r>
                </w:p>
              </w:tc>
              <w:tc>
                <w:tcPr>
                  <w:tcW w:w="900" w:type="pct"/>
                  <w:vAlign w:val="top"/>
                </w:tcPr>
                <w:p>
                  <w:r>
                    <w:t xml:space="preserve">27.63</w:t>
                  </w:r>
                </w:p>
              </w:tc>
              <w:tc>
                <w:tcPr>
                  <w:tcW w:w="900" w:type="pct"/>
                  <w:vAlign w:val="top"/>
                </w:tcPr>
                <w:p>
                  <w:r>
                    <w:t xml:space="preserve">28.57</w:t>
                  </w:r>
                </w:p>
              </w:tc>
            </w:tr>
            <w:tr>
              <w:trPr/>
              <w:tc>
                <w:tcPr>
                  <w:tcW w:w="900" w:type="pct"/>
                  <w:vAlign w:val="top"/>
                </w:tcPr>
                <w:p>
                  <w:r>
                    <w:t xml:space="preserve">14.5</w:t>
                  </w:r>
                </w:p>
              </w:tc>
              <w:tc>
                <w:tcPr>
                  <w:tcW w:w="1050" w:type="pct"/>
                  <w:vAlign w:val="top"/>
                </w:tcPr>
                <w:p>
                  <w:r>
                    <w:t xml:space="preserve">22.96</w:t>
                  </w:r>
                </w:p>
              </w:tc>
              <w:tc>
                <w:tcPr>
                  <w:tcW w:w="1050" w:type="pct"/>
                  <w:vAlign w:val="top"/>
                </w:tcPr>
                <w:p>
                  <w:r>
                    <w:t xml:space="preserve">23.66</w:t>
                  </w:r>
                </w:p>
              </w:tc>
              <w:tc>
                <w:tcPr>
                  <w:tcW w:w="900" w:type="pct"/>
                  <w:vAlign w:val="top"/>
                </w:tcPr>
                <w:p>
                  <w:r>
                    <w:t xml:space="preserve">27.98</w:t>
                  </w:r>
                </w:p>
              </w:tc>
              <w:tc>
                <w:tcPr>
                  <w:tcW w:w="900" w:type="pct"/>
                  <w:vAlign w:val="top"/>
                </w:tcPr>
                <w:p>
                  <w:r>
                    <w:t xml:space="preserve">28.87</w:t>
                  </w:r>
                </w:p>
              </w:tc>
            </w:tr>
            <w:tr>
              <w:trPr/>
              <w:tc>
                <w:tcPr>
                  <w:tcW w:w="900" w:type="pct"/>
                  <w:vAlign w:val="top"/>
                </w:tcPr>
                <w:p>
                  <w:r>
                    <w:t xml:space="preserve">15</w:t>
                  </w:r>
                </w:p>
              </w:tc>
              <w:tc>
                <w:tcPr>
                  <w:tcW w:w="1050" w:type="pct"/>
                  <w:vAlign w:val="top"/>
                </w:tcPr>
                <w:p>
                  <w:r>
                    <w:t xml:space="preserve">23.29</w:t>
                  </w:r>
                </w:p>
              </w:tc>
              <w:tc>
                <w:tcPr>
                  <w:tcW w:w="1050" w:type="pct"/>
                  <w:vAlign w:val="top"/>
                </w:tcPr>
                <w:p>
                  <w:r>
                    <w:t xml:space="preserve">23.94</w:t>
                  </w:r>
                </w:p>
              </w:tc>
              <w:tc>
                <w:tcPr>
                  <w:tcW w:w="900" w:type="pct"/>
                  <w:vAlign w:val="top"/>
                </w:tcPr>
                <w:p>
                  <w:r>
                    <w:t xml:space="preserve">28.30</w:t>
                  </w:r>
                </w:p>
              </w:tc>
              <w:tc>
                <w:tcPr>
                  <w:tcW w:w="900" w:type="pct"/>
                  <w:vAlign w:val="top"/>
                </w:tcPr>
                <w:p>
                  <w:r>
                    <w:t xml:space="preserve">29.11</w:t>
                  </w:r>
                </w:p>
              </w:tc>
            </w:tr>
            <w:tr>
              <w:trPr/>
              <w:tc>
                <w:tcPr>
                  <w:tcW w:w="900" w:type="pct"/>
                  <w:vAlign w:val="top"/>
                </w:tcPr>
                <w:p>
                  <w:r>
                    <w:t xml:space="preserve">15.5</w:t>
                  </w:r>
                </w:p>
              </w:tc>
              <w:tc>
                <w:tcPr>
                  <w:tcW w:w="1050" w:type="pct"/>
                  <w:vAlign w:val="top"/>
                </w:tcPr>
                <w:p>
                  <w:r>
                    <w:t xml:space="preserve">23.60</w:t>
                  </w:r>
                </w:p>
              </w:tc>
              <w:tc>
                <w:tcPr>
                  <w:tcW w:w="1050" w:type="pct"/>
                  <w:vAlign w:val="top"/>
                </w:tcPr>
                <w:p>
                  <w:r>
                    <w:t xml:space="preserve">24.17</w:t>
                  </w:r>
                </w:p>
              </w:tc>
              <w:tc>
                <w:tcPr>
                  <w:tcW w:w="900" w:type="pct"/>
                  <w:vAlign w:val="top"/>
                </w:tcPr>
                <w:p>
                  <w:r>
                    <w:t xml:space="preserve">28.60</w:t>
                  </w:r>
                </w:p>
              </w:tc>
              <w:tc>
                <w:tcPr>
                  <w:tcW w:w="900" w:type="pct"/>
                  <w:vAlign w:val="top"/>
                </w:tcPr>
                <w:p>
                  <w:r>
                    <w:t xml:space="preserve">29.29</w:t>
                  </w:r>
                </w:p>
              </w:tc>
            </w:tr>
            <w:tr>
              <w:trPr/>
              <w:tc>
                <w:tcPr>
                  <w:tcW w:w="900" w:type="pct"/>
                  <w:vAlign w:val="top"/>
                </w:tcPr>
                <w:p>
                  <w:r>
                    <w:t xml:space="preserve">16</w:t>
                  </w:r>
                </w:p>
              </w:tc>
              <w:tc>
                <w:tcPr>
                  <w:tcW w:w="1050" w:type="pct"/>
                  <w:vAlign w:val="top"/>
                </w:tcPr>
                <w:p>
                  <w:r>
                    <w:t xml:space="preserve">23.90</w:t>
                  </w:r>
                </w:p>
              </w:tc>
              <w:tc>
                <w:tcPr>
                  <w:tcW w:w="1050" w:type="pct"/>
                  <w:vAlign w:val="top"/>
                </w:tcPr>
                <w:p>
                  <w:r>
                    <w:t xml:space="preserve">24.37</w:t>
                  </w:r>
                </w:p>
              </w:tc>
              <w:tc>
                <w:tcPr>
                  <w:tcW w:w="900" w:type="pct"/>
                  <w:vAlign w:val="top"/>
                </w:tcPr>
                <w:p>
                  <w:r>
                    <w:t xml:space="preserve">28.88</w:t>
                  </w:r>
                </w:p>
              </w:tc>
              <w:tc>
                <w:tcPr>
                  <w:tcW w:w="900" w:type="pct"/>
                  <w:vAlign w:val="top"/>
                </w:tcPr>
                <w:p>
                  <w:r>
                    <w:t xml:space="preserve">29.43</w:t>
                  </w:r>
                </w:p>
              </w:tc>
            </w:tr>
            <w:tr>
              <w:trPr/>
              <w:tc>
                <w:tcPr>
                  <w:tcW w:w="900" w:type="pct"/>
                  <w:vAlign w:val="top"/>
                </w:tcPr>
                <w:p>
                  <w:r>
                    <w:t xml:space="preserve">16.5</w:t>
                  </w:r>
                </w:p>
              </w:tc>
              <w:tc>
                <w:tcPr>
                  <w:tcW w:w="1050" w:type="pct"/>
                  <w:vAlign w:val="top"/>
                </w:tcPr>
                <w:p>
                  <w:r>
                    <w:t xml:space="preserve">24.19</w:t>
                  </w:r>
                </w:p>
              </w:tc>
              <w:tc>
                <w:tcPr>
                  <w:tcW w:w="1050" w:type="pct"/>
                  <w:vAlign w:val="top"/>
                </w:tcPr>
                <w:p>
                  <w:r>
                    <w:t xml:space="preserve">24.54</w:t>
                  </w:r>
                </w:p>
              </w:tc>
              <w:tc>
                <w:tcPr>
                  <w:tcW w:w="900" w:type="pct"/>
                  <w:vAlign w:val="top"/>
                </w:tcPr>
                <w:p>
                  <w:r>
                    <w:t xml:space="preserve">29.14</w:t>
                  </w:r>
                </w:p>
              </w:tc>
              <w:tc>
                <w:tcPr>
                  <w:tcW w:w="900" w:type="pct"/>
                  <w:vAlign w:val="top"/>
                </w:tcPr>
                <w:p>
                  <w:r>
                    <w:t xml:space="preserve">29.56</w:t>
                  </w:r>
                </w:p>
              </w:tc>
            </w:tr>
            <w:tr>
              <w:trPr/>
              <w:tc>
                <w:tcPr>
                  <w:tcW w:w="900" w:type="pct"/>
                  <w:vAlign w:val="top"/>
                </w:tcPr>
                <w:p>
                  <w:r>
                    <w:t xml:space="preserve">17</w:t>
                  </w:r>
                </w:p>
              </w:tc>
              <w:tc>
                <w:tcPr>
                  <w:tcW w:w="1050" w:type="pct"/>
                  <w:vAlign w:val="top"/>
                </w:tcPr>
                <w:p>
                  <w:r>
                    <w:t xml:space="preserve">24.46</w:t>
                  </w:r>
                </w:p>
              </w:tc>
              <w:tc>
                <w:tcPr>
                  <w:tcW w:w="1050" w:type="pct"/>
                  <w:vAlign w:val="top"/>
                </w:tcPr>
                <w:p>
                  <w:r>
                    <w:t xml:space="preserve">24.70</w:t>
                  </w:r>
                </w:p>
              </w:tc>
              <w:tc>
                <w:tcPr>
                  <w:tcW w:w="900" w:type="pct"/>
                  <w:vAlign w:val="top"/>
                </w:tcPr>
                <w:p>
                  <w:r>
                    <w:t xml:space="preserve">29.41</w:t>
                  </w:r>
                </w:p>
              </w:tc>
              <w:tc>
                <w:tcPr>
                  <w:tcW w:w="900" w:type="pct"/>
                  <w:vAlign w:val="top"/>
                </w:tcPr>
                <w:p>
                  <w:r>
                    <w:t xml:space="preserve">26.69</w:t>
                  </w:r>
                </w:p>
              </w:tc>
            </w:tr>
            <w:tr>
              <w:trPr/>
              <w:tc>
                <w:tcPr>
                  <w:tcW w:w="900" w:type="pct"/>
                  <w:vAlign w:val="top"/>
                </w:tcPr>
                <w:p>
                  <w:r>
                    <w:t xml:space="preserve">17.5</w:t>
                  </w:r>
                </w:p>
              </w:tc>
              <w:tc>
                <w:tcPr>
                  <w:tcW w:w="1050" w:type="pct"/>
                  <w:vAlign w:val="top"/>
                </w:tcPr>
                <w:p>
                  <w:r>
                    <w:t xml:space="preserve">24.73</w:t>
                  </w:r>
                </w:p>
              </w:tc>
              <w:tc>
                <w:tcPr>
                  <w:tcW w:w="1050" w:type="pct"/>
                  <w:vAlign w:val="top"/>
                </w:tcPr>
                <w:p>
                  <w:r>
                    <w:t xml:space="preserve">24.85</w:t>
                  </w:r>
                </w:p>
              </w:tc>
              <w:tc>
                <w:tcPr>
                  <w:tcW w:w="900" w:type="pct"/>
                  <w:vAlign w:val="top"/>
                </w:tcPr>
                <w:p>
                  <w:r>
                    <w:t xml:space="preserve">29.70</w:t>
                  </w:r>
                </w:p>
              </w:tc>
              <w:tc>
                <w:tcPr>
                  <w:tcW w:w="900" w:type="pct"/>
                  <w:vAlign w:val="top"/>
                </w:tcPr>
                <w:p>
                  <w:r>
                    <w:t xml:space="preserve">29.84</w:t>
                  </w:r>
                </w:p>
              </w:tc>
            </w:tr>
            <w:tr>
              <w:trPr/>
              <w:tc>
                <w:tcPr>
                  <w:tcW w:w="900" w:type="pct"/>
                  <w:vAlign w:val="top"/>
                </w:tcPr>
                <w:p>
                  <w:r>
                    <w:t xml:space="preserve">18</w:t>
                  </w:r>
                </w:p>
              </w:tc>
              <w:tc>
                <w:tcPr>
                  <w:tcW w:w="1050" w:type="pct"/>
                  <w:vAlign w:val="top"/>
                </w:tcPr>
                <w:p>
                  <w:r>
                    <w:t xml:space="preserve">25.00</w:t>
                  </w:r>
                </w:p>
              </w:tc>
              <w:tc>
                <w:tcPr>
                  <w:tcW w:w="1050" w:type="pct"/>
                  <w:vAlign w:val="top"/>
                </w:tcPr>
                <w:p>
                  <w:r>
                    <w:t xml:space="preserve">25.00</w:t>
                  </w:r>
                </w:p>
              </w:tc>
              <w:tc>
                <w:tcPr>
                  <w:tcW w:w="900" w:type="pct"/>
                  <w:vAlign w:val="top"/>
                </w:tcPr>
                <w:p>
                  <w:r>
                    <w:t xml:space="preserve">30.00</w:t>
                  </w:r>
                </w:p>
              </w:tc>
              <w:tc>
                <w:tcPr>
                  <w:tcW w:w="900" w:type="pct"/>
                  <w:vAlign w:val="top"/>
                </w:tcPr>
                <w:p>
                  <w:r>
                    <w:t xml:space="preserve">30.00</w:t>
                  </w:r>
                </w:p>
              </w:tc>
            </w:tr>
          </w:tbl>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metadata item applies to persons aged 2 years or older. It is recommended for use in population surveys and health care settings for adults and population surveys only for children and adolescents. It is recommended that calculated BMI for children and adolescents be compared with a suitable growth reference such as the US Centers for Disease Control 2000 BMI- for-age chart in health care settings such as hospitals, clinics and in general practice. A BMI greater than the 85th percentile would be classified as overweight, while a BMI greater than the 95th percentile would be classified as obese. These percentiles are arbitrary and do not relate to morbidity as the BMI cut-points do in adults.</w:t>
            </w:r>
          </w:p>
          <w:p>
            <w:pPr>
              <w:spacing w:after="160"/>
            </w:pPr>
            <w:r>
              <w:rPr>
                <w:rStyle w:val="row-content-rich-text"/>
              </w:rPr>
              <w:t xml:space="preserve">BMI can be considered to provide the most useful, albeit crude, population-level measure of obesity. The robust nature of the measurements and the widespread routine inclusion of weights and heights in clinical and population health surveys mean that a more selective measure of adiposity, such as skinfold thickness measurements, provides additional rather than primary information. BMI can be used to estimate the prevalence of obesity within a population and the risks associated with it, but does not, however, account for the wide variation in the nature of obesity between different individuals and populations (WHO 2000).</w:t>
            </w:r>
          </w:p>
          <w:p>
            <w:pPr>
              <w:spacing w:after="160"/>
            </w:pPr>
            <w:r>
              <w:rPr>
                <w:rStyle w:val="row-content-rich-text"/>
              </w:rPr>
              <w:t xml:space="preserve">BMI values for adults are age-independent and the same for both sexes.</w:t>
            </w:r>
          </w:p>
          <w:p>
            <w:pPr>
              <w:spacing w:after="160"/>
            </w:pPr>
            <w:r>
              <w:rPr>
                <w:rStyle w:val="row-content-rich-text"/>
              </w:rPr>
              <w:t xml:space="preserve">However, BMI values for children and adolescents aged 2 to 17 years are age and sex specific and are classified by comparing against the above table, Table 1: Classification of BMI for children and adolescents.</w:t>
            </w:r>
          </w:p>
          <w:p>
            <w:pPr>
              <w:spacing w:after="160"/>
            </w:pPr>
            <w:r>
              <w:rPr>
                <w:rStyle w:val="row-content-rich-text"/>
              </w:rPr>
              <w:t xml:space="preserve">For adults and children and adolescents BMI may not correspond to the same degree of fatness in different populations due, in part, to differences in body proportions. The classification table shows a simplistic relationship between BMI and the risk of comorbidity, which can be affected by a range of factors, including the nature of the diet, ethnic group and activity level. The risks associated with increasing BMI are continuous and graded and begin at a BMI of 25 (or equivalent to 25 for children and adolescents). The interpretation of BMI grades in relation to risk may differ for different populations. Both BMI and a measure of fat distribution (waist circumference or waist: hip ratio in adults) are important in calculating the risk of obesity comorbidities.</w:t>
            </w:r>
          </w:p>
          <w:p>
            <w:pPr>
              <w:spacing w:after="160"/>
            </w:pPr>
            <w:r>
              <w:rPr>
                <w:rStyle w:val="row-content-rich-text"/>
              </w:rPr>
              <w:t xml:space="preserve">It is recommended that in population surveys, sociodemographic data including ethnicity should be collected, as well as other risk factors including physiological status (e.g. pregnancy), physical activity, smoking and alcohol consumption. Summary statistics may need to be adjusted for these variables.</w:t>
            </w:r>
          </w:p>
          <w:p>
            <w:pPr>
              <w:spacing w:after="160"/>
            </w:pPr>
            <w:r>
              <w:rPr>
                <w:rStyle w:val="row-content-rich-text"/>
              </w:rPr>
              <w:t xml:space="preserve">National health metadata items currently exist for sex, date of birth, country of birth, Indigenous Status and smoking. Metadata items are being developed for physical activity.</w:t>
            </w:r>
          </w:p>
          <w:p>
            <w:pPr>
              <w:spacing w:after="160"/>
            </w:pPr>
            <w:r>
              <w:rPr>
                <w:rStyle w:val="row-content-rich-text"/>
              </w:rPr>
              <w:t xml:space="preserve">Presentation of data:</w:t>
            </w:r>
          </w:p>
          <w:p>
            <w:pPr>
              <w:spacing w:after="160"/>
            </w:pPr>
            <w:r>
              <w:rPr>
                <w:rStyle w:val="row-content-rich-text"/>
              </w:rPr>
              <w:t xml:space="preserve">Methods used to establish cut-off points for overweight have been arbitrary and, as a result, cut-off points vary between countries. The data are derived mainly from studies of mortality and morbidity risk performed in people living in western Europe or the United States of America, and cut-off points for BMI as an indicator of adiposity and risk in populations who differ in body build and genetic disposition are likely to vary.</w:t>
            </w:r>
          </w:p>
          <w:p>
            <w:pPr>
              <w:spacing w:after="160"/>
            </w:pPr>
            <w:r>
              <w:rPr>
                <w:rStyle w:val="row-content-rich-text"/>
              </w:rPr>
              <w:t xml:space="preserve">Caution is required in relation to BMI cut-off points when used for different ethnic groups because of limited outcome data for some ethnic groups, e.g. Aboriginal and Torres Strait Islander peoples. As with overweight the cut-off points for a given level of risk are likely to vary with body build, genetic background and physical activity.</w:t>
            </w:r>
          </w:p>
          <w:p>
            <w:pPr>
              <w:spacing w:after="160"/>
            </w:pPr>
            <w:r>
              <w:rPr>
                <w:rStyle w:val="row-content-rich-text"/>
              </w:rPr>
              <w:t xml:space="preserve">The classification above is different to ones that have been used in the past and it is important that in any trend analysis consistent definitions are used.</w:t>
            </w:r>
          </w:p>
          <w:p>
            <w:pPr/>
            <w:r>
              <w:rPr>
                <w:rStyle w:val="row-content-rich-text"/>
              </w:rPr>
              <w:t xml:space="preserve">BMI should not be rounded before categorisation to the classification above.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WHO (World Health Organisation) 2000. Obesity: Preventing and Managing the Global Epidemic, report of a WHO Consultation. World Health Organization, Geneva.</w:t>
            </w:r>
          </w:p>
          <w:p>
            <w:pPr/>
            <w:r>
              <w:rPr>
                <w:rStyle w:val="row-content-rich-text"/>
              </w:rPr>
              <w:t xml:space="preserve">Cole TJ, Bellizi MC, Flegal KM, Dietz WH 2000. Establishing a standard definition for child overweight and obesity worldwide: international survey. British Medical Journal 320: 1240-1243</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Is re-engineered from </w:t>
            </w:r>
            <w:hyperlink w:history="true" r:id="R57d9f846016a4c8f">
              <w:r>
                <w:rPr>
                  <w:rStyle w:val="Hyperlink"/>
                  <w:i/>
                </w:rPr>
                <w:t xml:space="preserve"> </w:t>
              </w:r>
              <w:r>
                <w:rPr>
                  <w:rStyle w:val="row-content"/>
                </w:rPr>
                <w:t xml:space="preserve"> Body mass index - classification, version 2, Derived DE, NHDD, NHIMG, Superseded 01/03/2005.pdf</w:t>
              </w:r>
            </w:hyperlink>
            <w:r>
              <w:rPr>
                <w:rStyle w:val="row-content"/>
              </w:rPr>
              <w:t xml:space="preserve"> (79.5 KB)</w:t>
            </w:r>
          </w:p>
          <w:p>
            <w:pPr>
              <w:pStyle w:val="registration-status"/>
              <w:spacing w:before="0" w:after="0"/>
            </w:pPr>
            <w:r>
              <w:rPr>
                <w:rStyle w:val="row-content"/>
                <w:i/>
                <w:color w:val="244061"/>
              </w:rPr>
              <w:t xml:space="preserve">No registration status</w:t>
            </w:r>
          </w:p>
          <w:p>
            <w:r>
              <w:br/>
            </w:r>
            <w:r>
              <w:rPr>
                <w:rStyle w:val="row-content"/>
              </w:rPr>
              <w:t xml:space="preserve">See also </w:t>
            </w:r>
            <w:hyperlink w:history="true" r:id="Rd7187ac18a9143ff">
              <w:r>
                <w:rPr>
                  <w:rStyle w:val="Hyperlink"/>
                </w:rPr>
                <w:t xml:space="preserve">Adult—body mass index (self-reported), ratio NN[N].N[N]</w:t>
              </w:r>
            </w:hyperlink>
          </w:p>
          <w:p>
            <w:pPr>
              <w:pStyle w:val="registration-status"/>
              <w:spacing w:before="0" w:after="0"/>
            </w:pPr>
            <w:hyperlink w:history="true" r:id="R268ff5ef91a14dee">
              <w:r>
                <w:rPr>
                  <w:rStyle w:val="Hyperlink"/>
                  <w:color w:val="244061"/>
                </w:rPr>
                <w:t xml:space="preserve">Health</w:t>
              </w:r>
            </w:hyperlink>
            <w:r>
              <w:rPr>
                <w:rStyle w:val="row-content"/>
                <w:color w:val="244061"/>
              </w:rPr>
              <w:t xml:space="preserve">, Standard 01/03/2005</w:t>
            </w:r>
          </w:p>
          <w:p>
            <w:pPr>
              <w:pStyle w:val="registration-status"/>
              <w:spacing w:before="0" w:after="0"/>
            </w:pPr>
            <w:hyperlink w:history="true" r:id="Ra24407996b044fcc">
              <w:r>
                <w:rPr>
                  <w:rStyle w:val="Hyperlink"/>
                  <w:color w:val="244061"/>
                </w:rPr>
                <w:t xml:space="preserve">National Health Performance Authority (retired)</w:t>
              </w:r>
            </w:hyperlink>
            <w:r>
              <w:rPr>
                <w:rStyle w:val="row-content"/>
                <w:color w:val="244061"/>
              </w:rPr>
              <w:t xml:space="preserve">, Retired 01/07/2016</w:t>
            </w:r>
          </w:p>
          <w:p>
            <w:r>
              <w:br/>
            </w:r>
            <w:r>
              <w:rPr>
                <w:rStyle w:val="row-content"/>
              </w:rPr>
              <w:t xml:space="preserve">See also </w:t>
            </w:r>
            <w:hyperlink w:history="true" r:id="R5bd59a58387e4f2c">
              <w:r>
                <w:rPr>
                  <w:rStyle w:val="Hyperlink"/>
                </w:rPr>
                <w:t xml:space="preserve">Child—body mass index (measured), ratio NN[N].N[N]</w:t>
              </w:r>
            </w:hyperlink>
          </w:p>
          <w:p>
            <w:pPr>
              <w:pStyle w:val="registration-status"/>
              <w:spacing w:before="0" w:after="0"/>
            </w:pPr>
            <w:hyperlink w:history="true" r:id="Re13527ad0bda4112">
              <w:r>
                <w:rPr>
                  <w:rStyle w:val="Hyperlink"/>
                  <w:color w:val="244061"/>
                </w:rPr>
                <w:t xml:space="preserve">Health</w:t>
              </w:r>
            </w:hyperlink>
            <w:r>
              <w:rPr>
                <w:rStyle w:val="row-content"/>
                <w:color w:val="244061"/>
              </w:rPr>
              <w:t xml:space="preserve">, Standard 01/03/2005</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a12946df94604fbe">
              <w:r>
                <w:rPr>
                  <w:rStyle w:val="Hyperlink"/>
                </w:rPr>
                <w:t xml:space="preserve">Aboriginal and Torres Strait Islander specific primary health care NBEDS December 2023</w:t>
              </w:r>
            </w:hyperlink>
          </w:p>
          <w:p>
            <w:pPr>
              <w:pStyle w:val="registration-status"/>
              <w:spacing w:before="0" w:after="0"/>
            </w:pPr>
            <w:hyperlink w:history="true" r:id="R69981248f5154c73">
              <w:r>
                <w:rPr>
                  <w:rStyle w:val="Hyperlink"/>
                  <w:color w:val="244061"/>
                </w:rPr>
                <w:t xml:space="preserve">Indigenous</w:t>
              </w:r>
            </w:hyperlink>
            <w:r>
              <w:rPr>
                <w:rStyle w:val="row-content"/>
                <w:color w:val="244061"/>
              </w:rPr>
              <w:t xml:space="preserve">, Superseded 27/04/2024</w:t>
            </w:r>
          </w:p>
          <w:p>
            <w:r>
              <w:rPr>
                <w:rStyle w:val="row-content"/>
                <w:b/>
                <w:i/>
              </w:rPr>
              <w:t xml:space="preserve">Implementation start date: </w:t>
            </w:r>
            <w:r>
              <w:rPr>
                <w:rStyle w:val="row-content"/>
              </w:rPr>
              <w:t xml:space="preserve">01/07/2023</w:t>
            </w:r>
            <w:r>
              <w:br/>
            </w:r>
            <w:r>
              <w:rPr>
                <w:rStyle w:val="row-content"/>
                <w:b/>
                <w:i/>
              </w:rPr>
              <w:t xml:space="preserve">Implementation end date: </w:t>
            </w:r>
            <w:r>
              <w:rPr>
                <w:rStyle w:val="row-content"/>
              </w:rPr>
              <w:t xml:space="preserve">31/12/2023</w:t>
            </w:r>
            <w:r>
              <w:br/>
            </w:r>
            <w:r>
              <w:rPr>
                <w:rStyle w:val="row-content"/>
                <w:b/>
                <w:i/>
              </w:rPr>
              <w:t xml:space="preserve">Conditional obligation: </w:t>
            </w:r>
          </w:p>
          <w:p>
            <w:r>
              <w:rPr>
                <w:rStyle w:val="row-content"/>
              </w:rPr>
              <w:t xml:space="preserve">Reporting against this data element is conditional on </w:t>
            </w:r>
            <w:hyperlink w:history="true" r:id="R2d5243fbee2f4f01">
              <w:r>
                <w:rPr>
                  <w:rStyle w:val="Hyperlink"/>
                </w:rPr>
                <w:t xml:space="preserve">Person—age, total years N[NN]</w:t>
              </w:r>
            </w:hyperlink>
            <w:r>
              <w:rPr>
                <w:rStyle w:val="row-content"/>
              </w:rPr>
              <w:t xml:space="preserve"> being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ATSISPHC NBEDS only aggregated data with 'CODE 1.1 Underweight &lt; 18.50 Low (but risk of other clinical problems increased)', 'CODE 1.2 Normal range 18.50 - 24.99 Average', 'CODE 2.2 Pre Obese 25.00 - 29.99 Increased', 'CODE 3 Obese ≥ 30 Increased' or 'CODE 9 Not stated/inadequately described' are provided to the AIHW.</w:t>
            </w:r>
          </w:p>
          <w:p>
            <w:r>
              <w:br/>
            </w:r>
            <w:r>
              <w:br/>
            </w:r>
            <w:hyperlink w:history="true" r:id="Rfda92b39b3504457">
              <w:r>
                <w:rPr>
                  <w:rStyle w:val="Hyperlink"/>
                </w:rPr>
                <w:t xml:space="preserve">Aboriginal and Torres Strait Islander specific primary health care NBEDS December 2024</w:t>
              </w:r>
            </w:hyperlink>
          </w:p>
          <w:p>
            <w:pPr>
              <w:pStyle w:val="registration-status"/>
              <w:spacing w:before="0" w:after="0"/>
            </w:pPr>
            <w:hyperlink w:history="true" r:id="Rc04af2484e0b4663">
              <w:r>
                <w:rPr>
                  <w:rStyle w:val="Hyperlink"/>
                  <w:color w:val="244061"/>
                </w:rPr>
                <w:t xml:space="preserve">Indigenous</w:t>
              </w:r>
            </w:hyperlink>
            <w:r>
              <w:rPr>
                <w:rStyle w:val="row-content"/>
                <w:color w:val="244061"/>
              </w:rPr>
              <w:t xml:space="preserve">, Superseded 19/06/2025</w:t>
            </w:r>
          </w:p>
          <w:p>
            <w:r>
              <w:rPr>
                <w:rStyle w:val="row-content"/>
                <w:b/>
                <w:i/>
              </w:rPr>
              <w:t xml:space="preserve">Implementation start date: </w:t>
            </w:r>
            <w:r>
              <w:rPr>
                <w:rStyle w:val="row-content"/>
              </w:rPr>
              <w:t xml:space="preserve">01/07/2024</w:t>
            </w:r>
            <w:r>
              <w:br/>
            </w:r>
            <w:r>
              <w:rPr>
                <w:rStyle w:val="row-content"/>
                <w:b/>
                <w:i/>
              </w:rPr>
              <w:t xml:space="preserve">Implementation end date: </w:t>
            </w:r>
            <w:r>
              <w:rPr>
                <w:rStyle w:val="row-content"/>
              </w:rPr>
              <w:t xml:space="preserve">31/12/2024</w:t>
            </w:r>
            <w:r>
              <w:br/>
            </w:r>
            <w:r>
              <w:rPr>
                <w:rStyle w:val="row-content"/>
                <w:b/>
                <w:i/>
              </w:rPr>
              <w:t xml:space="preserve">Conditional obligation: </w:t>
            </w:r>
          </w:p>
          <w:p>
            <w:r>
              <w:rPr>
                <w:rStyle w:val="row-content"/>
              </w:rPr>
              <w:t xml:space="preserve">Reporting against this data element is conditional on </w:t>
            </w:r>
            <w:hyperlink w:history="true" r:id="R16b3fac734b34186">
              <w:r>
                <w:rPr>
                  <w:rStyle w:val="Hyperlink"/>
                </w:rPr>
                <w:t xml:space="preserve">Person—age, total years N[NN]</w:t>
              </w:r>
            </w:hyperlink>
            <w:r>
              <w:rPr>
                <w:rStyle w:val="row-content"/>
              </w:rPr>
              <w:t xml:space="preserve"> being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ATSISPHC NBEDS only aggregated data with 'CODE 1.1 Underweight &lt; 18.50 Low (but risk of other clinical problems increased)', 'CODE 1.2 Normal range 18.50 - 24.99 Average', 'CODE 2.2 Pre Obese 25.00 - 29.99 Increased', 'CODE 3 Obese ≥ 30 Increased' or 'CODE 9 Not stated/inadequately described' are provided to the AIHW.</w:t>
            </w:r>
          </w:p>
          <w:p>
            <w:r>
              <w:br/>
            </w:r>
            <w:r>
              <w:br/>
            </w:r>
            <w:hyperlink w:history="true" r:id="R325dc0288cfc41d4">
              <w:r>
                <w:rPr>
                  <w:rStyle w:val="Hyperlink"/>
                </w:rPr>
                <w:t xml:space="preserve">Aboriginal and Torres Strait Islander specific primary health care NBEDS December 2025</w:t>
              </w:r>
            </w:hyperlink>
          </w:p>
          <w:p>
            <w:pPr>
              <w:pStyle w:val="registration-status"/>
              <w:spacing w:before="0" w:after="0"/>
            </w:pPr>
            <w:hyperlink w:history="true" r:id="R528d719d56dd479d">
              <w:r>
                <w:rPr>
                  <w:rStyle w:val="Hyperlink"/>
                  <w:color w:val="244061"/>
                </w:rPr>
                <w:t xml:space="preserve">Indigenous</w:t>
              </w:r>
            </w:hyperlink>
            <w:r>
              <w:rPr>
                <w:rStyle w:val="row-content"/>
                <w:color w:val="244061"/>
              </w:rPr>
              <w:t xml:space="preserve">, Standard 28/10/2025</w:t>
            </w:r>
          </w:p>
          <w:p>
            <w:r>
              <w:rPr>
                <w:rStyle w:val="row-content"/>
                <w:b/>
                <w:i/>
              </w:rPr>
              <w:t xml:space="preserve">Implementation start date: </w:t>
            </w:r>
            <w:r>
              <w:rPr>
                <w:rStyle w:val="row-content"/>
              </w:rPr>
              <w:t xml:space="preserve">01/07/2025</w:t>
            </w:r>
            <w:r>
              <w:br/>
            </w:r>
            <w:r>
              <w:rPr>
                <w:rStyle w:val="row-content"/>
                <w:b/>
                <w:i/>
              </w:rPr>
              <w:t xml:space="preserve">Implementation end date: </w:t>
            </w:r>
            <w:r>
              <w:rPr>
                <w:rStyle w:val="row-content"/>
              </w:rPr>
              <w:t xml:space="preserve">31/12/2025</w:t>
            </w:r>
            <w:r>
              <w:br/>
            </w:r>
            <w:r>
              <w:rPr>
                <w:rStyle w:val="row-content"/>
                <w:b/>
                <w:i/>
              </w:rPr>
              <w:t xml:space="preserve">Conditional obligation: </w:t>
            </w:r>
          </w:p>
          <w:p>
            <w:r>
              <w:rPr>
                <w:rStyle w:val="row-content"/>
              </w:rPr>
              <w:t xml:space="preserve">Reporting against this data element is conditional on </w:t>
            </w:r>
            <w:hyperlink w:history="true" r:id="Ra7f5240bee134228">
              <w:r>
                <w:rPr>
                  <w:rStyle w:val="Hyperlink"/>
                </w:rPr>
                <w:t xml:space="preserve">Person—age, total years N[NN]</w:t>
              </w:r>
            </w:hyperlink>
            <w:r>
              <w:rPr>
                <w:rStyle w:val="row-content"/>
              </w:rPr>
              <w:t xml:space="preserve"> being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ATSISPHC NBEDS only aggregated data with 'CODE 1.1 Underweight &lt; 18.50 Low (but risk of other clinical problems increased)', 'CODE 1.2 Normal range 18.50 - 24.99 Average', 'CODE 2.2 Pre Obese 25.00 - 29.99 Increased', 'CODE 3 Obese ≥ 30 Increased' or 'CODE 9 Not stated/inadequately described' are provided to the AIHW.</w:t>
            </w:r>
          </w:p>
          <w:p>
            <w:r>
              <w:br/>
            </w:r>
            <w:r>
              <w:br/>
            </w:r>
            <w:hyperlink w:history="true" r:id="Rb9416745eff345a6">
              <w:r>
                <w:rPr>
                  <w:rStyle w:val="Hyperlink"/>
                </w:rPr>
                <w:t xml:space="preserve">Aboriginal and Torres Strait Islander specific primary health care NBEDS June 2024</w:t>
              </w:r>
            </w:hyperlink>
          </w:p>
          <w:p>
            <w:pPr>
              <w:pStyle w:val="registration-status"/>
              <w:spacing w:before="0" w:after="0"/>
            </w:pPr>
            <w:hyperlink w:history="true" r:id="R37b37c5ef5444d04">
              <w:r>
                <w:rPr>
                  <w:rStyle w:val="Hyperlink"/>
                  <w:color w:val="244061"/>
                </w:rPr>
                <w:t xml:space="preserve">Indigenous</w:t>
              </w:r>
            </w:hyperlink>
            <w:r>
              <w:rPr>
                <w:rStyle w:val="row-content"/>
                <w:color w:val="244061"/>
              </w:rPr>
              <w:t xml:space="preserve">, Superseded 17/12/2024</w:t>
            </w:r>
          </w:p>
          <w:p>
            <w:r>
              <w:rPr>
                <w:rStyle w:val="row-content"/>
                <w:b/>
                <w:i/>
              </w:rPr>
              <w:t xml:space="preserve">Implementation start date: </w:t>
            </w:r>
            <w:r>
              <w:rPr>
                <w:rStyle w:val="row-content"/>
              </w:rPr>
              <w:t xml:space="preserve">01/01/2024</w:t>
            </w:r>
            <w:r>
              <w:br/>
            </w:r>
            <w:r>
              <w:rPr>
                <w:rStyle w:val="row-content"/>
                <w:b/>
                <w:i/>
              </w:rPr>
              <w:t xml:space="preserve">Implementation end date: </w:t>
            </w:r>
            <w:r>
              <w:rPr>
                <w:rStyle w:val="row-content"/>
              </w:rPr>
              <w:t xml:space="preserve">30/06/2024</w:t>
            </w:r>
            <w:r>
              <w:br/>
            </w:r>
            <w:r>
              <w:rPr>
                <w:rStyle w:val="row-content"/>
                <w:b/>
                <w:i/>
              </w:rPr>
              <w:t xml:space="preserve">Conditional obligation: </w:t>
            </w:r>
          </w:p>
          <w:p>
            <w:r>
              <w:rPr>
                <w:rStyle w:val="row-content"/>
              </w:rPr>
              <w:t xml:space="preserve">Reporting against this data element is conditional on </w:t>
            </w:r>
            <w:hyperlink w:history="true" r:id="Re8e135170bdd47e4">
              <w:r>
                <w:rPr>
                  <w:rStyle w:val="Hyperlink"/>
                </w:rPr>
                <w:t xml:space="preserve">Person—age, total years N[NN]</w:t>
              </w:r>
            </w:hyperlink>
            <w:r>
              <w:rPr>
                <w:rStyle w:val="row-content"/>
              </w:rPr>
              <w:t xml:space="preserve"> being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ATSISPHC NBEDS only aggregated data with 'CODE 1.1 Underweight &lt; 18.50 Low (but risk of other clinical problems increased)', 'CODE 1.2 Normal range 18.50 - 24.99 Average', 'CODE 2.2 Pre Obese 25.00 - 29.99 Increased', 'CODE 3 Obese ≥ 30 Increased' or 'CODE 9 Not stated/inadequately described' are provided to the AIHW.</w:t>
            </w:r>
          </w:p>
          <w:p>
            <w:r>
              <w:br/>
            </w:r>
            <w:r>
              <w:br/>
            </w:r>
            <w:hyperlink w:history="true" r:id="Rfd81312d20194d9b">
              <w:r>
                <w:rPr>
                  <w:rStyle w:val="Hyperlink"/>
                </w:rPr>
                <w:t xml:space="preserve">Aboriginal and Torres Strait Islander specific primary health care NBEDS June 2025</w:t>
              </w:r>
            </w:hyperlink>
          </w:p>
          <w:p>
            <w:pPr>
              <w:pStyle w:val="registration-status"/>
              <w:spacing w:before="0" w:after="0"/>
            </w:pPr>
            <w:hyperlink w:history="true" r:id="R3be9711dd937419b">
              <w:r>
                <w:rPr>
                  <w:rStyle w:val="Hyperlink"/>
                  <w:color w:val="244061"/>
                </w:rPr>
                <w:t xml:space="preserve">Indigenous</w:t>
              </w:r>
            </w:hyperlink>
            <w:r>
              <w:rPr>
                <w:rStyle w:val="row-content"/>
                <w:color w:val="244061"/>
              </w:rPr>
              <w:t xml:space="preserve">, Superseded 28/10/2025</w:t>
            </w:r>
          </w:p>
          <w:p>
            <w:r>
              <w:rPr>
                <w:rStyle w:val="row-content"/>
                <w:b/>
                <w:i/>
              </w:rPr>
              <w:t xml:space="preserve">Implementation start date: </w:t>
            </w:r>
            <w:r>
              <w:rPr>
                <w:rStyle w:val="row-content"/>
              </w:rPr>
              <w:t xml:space="preserve">01/01/2025</w:t>
            </w:r>
            <w:r>
              <w:br/>
            </w:r>
            <w:r>
              <w:rPr>
                <w:rStyle w:val="row-content"/>
                <w:b/>
                <w:i/>
              </w:rPr>
              <w:t xml:space="preserve">Implementation end date: </w:t>
            </w:r>
            <w:r>
              <w:rPr>
                <w:rStyle w:val="row-content"/>
              </w:rPr>
              <w:t xml:space="preserve">30/06/2025</w:t>
            </w:r>
            <w:r>
              <w:br/>
            </w:r>
            <w:r>
              <w:rPr>
                <w:rStyle w:val="row-content"/>
                <w:b/>
                <w:i/>
              </w:rPr>
              <w:t xml:space="preserve">Conditional obligation: </w:t>
            </w:r>
          </w:p>
          <w:p>
            <w:r>
              <w:rPr>
                <w:rStyle w:val="row-content"/>
              </w:rPr>
              <w:t xml:space="preserve">Reporting against this data element is conditional on </w:t>
            </w:r>
            <w:hyperlink w:history="true" r:id="Rdbeea96c366e45e0">
              <w:r>
                <w:rPr>
                  <w:rStyle w:val="Hyperlink"/>
                </w:rPr>
                <w:t xml:space="preserve">Person—age, total years N[NN]</w:t>
              </w:r>
            </w:hyperlink>
            <w:r>
              <w:rPr>
                <w:rStyle w:val="row-content"/>
              </w:rPr>
              <w:t xml:space="preserve"> being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ATSISPHC NBEDS only aggregated data with 'CODE 1.1 Underweight &lt; 18.50 Low (but risk of other clinical problems increased)', 'CODE 1.2 Normal range 18.50 - 24.99 Average', 'CODE 2.2 Pre Obese 25.00 - 29.99 Increased', 'CODE 3 Obese ≥ 30 Increased' or 'CODE 9 Not stated/inadequately described' are provided to the AIHW.</w:t>
            </w:r>
          </w:p>
          <w:p>
            <w:r>
              <w:br/>
            </w:r>
            <w:r>
              <w:br/>
            </w:r>
            <w:hyperlink w:history="true" r:id="Rcaf8ecc65e7d4357">
              <w:r>
                <w:rPr>
                  <w:rStyle w:val="Hyperlink"/>
                </w:rPr>
                <w:t xml:space="preserve">Indigenous primary health care DSS 2012-14</w:t>
              </w:r>
            </w:hyperlink>
          </w:p>
          <w:p>
            <w:pPr>
              <w:pStyle w:val="registration-status"/>
              <w:spacing w:before="0" w:after="0"/>
            </w:pPr>
            <w:hyperlink w:history="true" r:id="Rdc3a24330a7b42b9">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2efeefb6721845e0">
              <w:r>
                <w:rPr>
                  <w:rStyle w:val="Hyperlink"/>
                  <w:color w:val="244061"/>
                </w:rPr>
                <w:t xml:space="preserve">Indigenous</w:t>
              </w:r>
            </w:hyperlink>
            <w:r>
              <w:rPr>
                <w:rStyle w:val="row-content"/>
                <w:color w:val="244061"/>
              </w:rPr>
              <w:t xml:space="preserve">, Superseded 21/11/2013</w:t>
            </w:r>
          </w:p>
          <w:p>
            <w:r>
              <w:rPr>
                <w:rStyle w:val="row-content"/>
                <w:b/>
                <w:i/>
              </w:rPr>
              <w:t xml:space="preserve">Implementation start date: </w:t>
            </w:r>
            <w:r>
              <w:rPr>
                <w:rStyle w:val="row-content"/>
              </w:rPr>
              <w:t xml:space="preserve">01/07/2012</w:t>
            </w:r>
            <w:r>
              <w:br/>
            </w:r>
            <w:r>
              <w:rPr>
                <w:rStyle w:val="row-content"/>
                <w:b/>
                <w:i/>
              </w:rPr>
              <w:t xml:space="preserve">Implementation end date: </w:t>
            </w:r>
            <w:r>
              <w:rPr>
                <w:rStyle w:val="row-content"/>
              </w:rPr>
              <w:t xml:space="preserve">30/06/2014</w:t>
            </w:r>
            <w:r>
              <w:br/>
            </w:r>
            <w:r>
              <w:rPr>
                <w:rStyle w:val="row-content"/>
                <w:b/>
                <w:i/>
              </w:rPr>
              <w:t xml:space="preserve">Conditional obligation: </w:t>
            </w:r>
            <w:r>
              <w:rPr>
                <w:rStyle w:val="row-content"/>
              </w:rPr>
              <w:t xml:space="preserve">This item is only collected for persons aged 25 years and older.</w:t>
            </w:r>
            <w:r>
              <w:br/>
            </w:r>
            <w:r>
              <w:br/>
            </w:r>
            <w:hyperlink w:history="true" r:id="Re645a41f569247d8">
              <w:r>
                <w:rPr>
                  <w:rStyle w:val="Hyperlink"/>
                </w:rPr>
                <w:t xml:space="preserve">Indigenous primary health care DSS 2014-15</w:t>
              </w:r>
            </w:hyperlink>
          </w:p>
          <w:p>
            <w:pPr>
              <w:pStyle w:val="registration-status"/>
              <w:spacing w:before="0" w:after="0"/>
            </w:pPr>
            <w:hyperlink w:history="true" r:id="R65f48c04dde940b0">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fd7240a0799742b8">
              <w:r>
                <w:rPr>
                  <w:rStyle w:val="Hyperlink"/>
                  <w:color w:val="244061"/>
                </w:rPr>
                <w:t xml:space="preserve">Indigenous</w:t>
              </w:r>
            </w:hyperlink>
            <w:r>
              <w:rPr>
                <w:rStyle w:val="row-content"/>
                <w:color w:val="244061"/>
              </w:rPr>
              <w:t xml:space="preserve">, Superseded 13/03/2015</w:t>
            </w:r>
          </w:p>
          <w:p>
            <w:r>
              <w:rPr>
                <w:rStyle w:val="row-content"/>
                <w:b/>
                <w:i/>
              </w:rPr>
              <w:t xml:space="preserve">Implementation start date: </w:t>
            </w:r>
            <w:r>
              <w:rPr>
                <w:rStyle w:val="row-content"/>
              </w:rPr>
              <w:t xml:space="preserve">01/07/2014</w:t>
            </w:r>
            <w:r>
              <w:br/>
            </w:r>
            <w:r>
              <w:rPr>
                <w:rStyle w:val="row-content"/>
                <w:b/>
                <w:i/>
              </w:rPr>
              <w:t xml:space="preserve">Implementation end date: </w:t>
            </w:r>
            <w:r>
              <w:rPr>
                <w:rStyle w:val="row-content"/>
              </w:rPr>
              <w:t xml:space="preserve">30/06/2015</w:t>
            </w:r>
            <w:r>
              <w:br/>
            </w:r>
            <w:r>
              <w:rPr>
                <w:rStyle w:val="row-content"/>
                <w:b/>
                <w:i/>
              </w:rPr>
              <w:t xml:space="preserve">Conditional obligation: </w:t>
            </w:r>
            <w:r>
              <w:rPr>
                <w:rStyle w:val="row-content"/>
              </w:rPr>
              <w:t xml:space="preserve">This item is only collected for persons aged 25 years and older.</w:t>
            </w:r>
            <w:r>
              <w:br/>
            </w:r>
            <w:r>
              <w:br/>
            </w:r>
            <w:hyperlink w:history="true" r:id="R7f990f26327245fd">
              <w:r>
                <w:rPr>
                  <w:rStyle w:val="Hyperlink"/>
                </w:rPr>
                <w:t xml:space="preserve">Indigenous primary health care DSS 2015-17</w:t>
              </w:r>
            </w:hyperlink>
          </w:p>
          <w:p>
            <w:pPr>
              <w:pStyle w:val="registration-status"/>
              <w:spacing w:before="0" w:after="0"/>
            </w:pPr>
            <w:hyperlink w:history="true" r:id="Ra6fd1c0a80004edc">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eff09406af6a40ee">
              <w:r>
                <w:rPr>
                  <w:rStyle w:val="Hyperlink"/>
                  <w:color w:val="244061"/>
                </w:rPr>
                <w:t xml:space="preserve">Indigenous</w:t>
              </w:r>
            </w:hyperlink>
            <w:r>
              <w:rPr>
                <w:rStyle w:val="row-content"/>
                <w:color w:val="244061"/>
              </w:rPr>
              <w:t xml:space="preserve">, Superseded 27/02/2018</w:t>
            </w:r>
          </w:p>
          <w:p>
            <w:r>
              <w:rPr>
                <w:rStyle w:val="row-content"/>
                <w:b/>
                <w:i/>
              </w:rPr>
              <w:t xml:space="preserve">Implementation start date: </w:t>
            </w:r>
            <w:r>
              <w:rPr>
                <w:rStyle w:val="row-content"/>
              </w:rPr>
              <w:t xml:space="preserve">01/07/2015</w:t>
            </w:r>
            <w:r>
              <w:br/>
            </w:r>
            <w:r>
              <w:rPr>
                <w:rStyle w:val="row-content"/>
                <w:b/>
                <w:i/>
              </w:rPr>
              <w:t xml:space="preserve">Implementation end date: </w:t>
            </w:r>
            <w:r>
              <w:rPr>
                <w:rStyle w:val="row-content"/>
              </w:rPr>
              <w:t xml:space="preserve">30/06/2017</w:t>
            </w:r>
            <w:r>
              <w:br/>
            </w:r>
            <w:r>
              <w:rPr>
                <w:rStyle w:val="row-content"/>
                <w:b/>
                <w:i/>
              </w:rPr>
              <w:t xml:space="preserve">Conditional obligation: </w:t>
            </w:r>
          </w:p>
          <w:p>
            <w:r>
              <w:rPr>
                <w:rStyle w:val="row-content"/>
              </w:rPr>
              <w:t xml:space="preserve">This item is only collected for persons aged 25 years and older.</w:t>
            </w:r>
          </w:p>
          <w:p>
            <w:r>
              <w:br/>
            </w:r>
            <w:r>
              <w:br/>
            </w:r>
            <w:hyperlink w:history="true" r:id="Rc222050977cf4988">
              <w:r>
                <w:rPr>
                  <w:rStyle w:val="Hyperlink"/>
                </w:rPr>
                <w:t xml:space="preserve">Indigenous primary health care NBEDS 2017–18</w:t>
              </w:r>
            </w:hyperlink>
          </w:p>
          <w:p>
            <w:pPr>
              <w:pStyle w:val="registration-status"/>
              <w:spacing w:before="0" w:after="0"/>
            </w:pPr>
            <w:hyperlink w:history="true" r:id="R0b32c291eab34751">
              <w:r>
                <w:rPr>
                  <w:rStyle w:val="Hyperlink"/>
                  <w:color w:val="244061"/>
                </w:rPr>
                <w:t xml:space="preserve">Health</w:t>
              </w:r>
            </w:hyperlink>
            <w:r>
              <w:rPr>
                <w:rStyle w:val="row-content"/>
                <w:color w:val="244061"/>
              </w:rPr>
              <w:t xml:space="preserve">, Superseded 06/09/2018</w:t>
            </w:r>
          </w:p>
          <w:p>
            <w:pPr>
              <w:pStyle w:val="registration-status"/>
              <w:spacing w:before="0" w:after="0"/>
            </w:pPr>
            <w:hyperlink w:history="true" r:id="R260d77cc98d0477c">
              <w:r>
                <w:rPr>
                  <w:rStyle w:val="Hyperlink"/>
                  <w:color w:val="244061"/>
                </w:rPr>
                <w:t xml:space="preserve">Indigenous</w:t>
              </w:r>
            </w:hyperlink>
            <w:r>
              <w:rPr>
                <w:rStyle w:val="row-content"/>
                <w:color w:val="244061"/>
              </w:rPr>
              <w:t xml:space="preserve">, Superseded 22/10/2018</w:t>
            </w:r>
          </w:p>
          <w:p>
            <w:r>
              <w:rPr>
                <w:rStyle w:val="row-content"/>
                <w:b/>
                <w:i/>
              </w:rPr>
              <w:t xml:space="preserve">Implementation start date: </w:t>
            </w:r>
            <w:r>
              <w:rPr>
                <w:rStyle w:val="row-content"/>
              </w:rPr>
              <w:t xml:space="preserve">01/07/2017</w:t>
            </w:r>
            <w:r>
              <w:br/>
            </w:r>
            <w:r>
              <w:rPr>
                <w:rStyle w:val="row-content"/>
                <w:b/>
                <w:i/>
              </w:rPr>
              <w:t xml:space="preserve">Implementation end date: </w:t>
            </w:r>
            <w:r>
              <w:rPr>
                <w:rStyle w:val="row-content"/>
              </w:rPr>
              <w:t xml:space="preserve">30/06/2018</w:t>
            </w:r>
            <w:r>
              <w:br/>
            </w:r>
            <w:r>
              <w:rPr>
                <w:rStyle w:val="row-content"/>
                <w:b/>
                <w:i/>
              </w:rPr>
              <w:t xml:space="preserve">Conditional obligation: </w:t>
            </w:r>
          </w:p>
          <w:p>
            <w:r>
              <w:rPr>
                <w:rStyle w:val="row-content"/>
              </w:rPr>
              <w:t xml:space="preserve">This item is only collected for persons aged 25 and older.</w:t>
            </w:r>
          </w:p>
          <w:p>
            <w:r>
              <w:br/>
            </w:r>
            <w:r>
              <w:br/>
            </w:r>
            <w:hyperlink w:history="true" r:id="Rf6774e811f4146b0">
              <w:r>
                <w:rPr>
                  <w:rStyle w:val="Hyperlink"/>
                </w:rPr>
                <w:t xml:space="preserve">Indigenous primary health care NBEDS 2018–19</w:t>
              </w:r>
            </w:hyperlink>
          </w:p>
          <w:p>
            <w:pPr>
              <w:pStyle w:val="registration-status"/>
              <w:spacing w:before="0" w:after="0"/>
            </w:pPr>
            <w:hyperlink w:history="true" r:id="R4059223279f140e2">
              <w:r>
                <w:rPr>
                  <w:rStyle w:val="Hyperlink"/>
                  <w:color w:val="244061"/>
                </w:rPr>
                <w:t xml:space="preserve">Health</w:t>
              </w:r>
            </w:hyperlink>
            <w:r>
              <w:rPr>
                <w:rStyle w:val="row-content"/>
                <w:color w:val="244061"/>
              </w:rPr>
              <w:t xml:space="preserve">, Superseded 12/12/2018</w:t>
            </w:r>
          </w:p>
          <w:p>
            <w:pPr>
              <w:pStyle w:val="registration-status"/>
              <w:spacing w:before="0" w:after="0"/>
            </w:pPr>
            <w:hyperlink w:history="true" r:id="Rb7e8b976242a4aba">
              <w:r>
                <w:rPr>
                  <w:rStyle w:val="Hyperlink"/>
                  <w:color w:val="244061"/>
                </w:rPr>
                <w:t xml:space="preserve">Indigenous</w:t>
              </w:r>
            </w:hyperlink>
            <w:r>
              <w:rPr>
                <w:rStyle w:val="row-content"/>
                <w:color w:val="244061"/>
              </w:rPr>
              <w:t xml:space="preserve">, Superseded 02/04/2019</w:t>
            </w:r>
          </w:p>
          <w:p>
            <w:r>
              <w:rPr>
                <w:rStyle w:val="row-content"/>
                <w:b/>
                <w:i/>
              </w:rPr>
              <w:t xml:space="preserve">Implementation start date: </w:t>
            </w:r>
            <w:r>
              <w:rPr>
                <w:rStyle w:val="row-content"/>
              </w:rPr>
              <w:t xml:space="preserve">01/07/2018</w:t>
            </w:r>
            <w:r>
              <w:br/>
            </w:r>
            <w:r>
              <w:rPr>
                <w:rStyle w:val="row-content"/>
                <w:b/>
                <w:i/>
              </w:rPr>
              <w:t xml:space="preserve">Implementation end date: </w:t>
            </w:r>
            <w:r>
              <w:rPr>
                <w:rStyle w:val="row-content"/>
              </w:rPr>
              <w:t xml:space="preserve">30/06/2019</w:t>
            </w:r>
            <w:r>
              <w:br/>
            </w:r>
            <w:r>
              <w:rPr>
                <w:rStyle w:val="row-content"/>
                <w:b/>
                <w:i/>
              </w:rPr>
              <w:t xml:space="preserve">Conditional obligation: </w:t>
            </w:r>
          </w:p>
          <w:p>
            <w:r>
              <w:rPr>
                <w:rStyle w:val="row-content"/>
              </w:rPr>
              <w:t xml:space="preserve">This item is only collected for persons aged 25 and older.</w:t>
            </w:r>
          </w:p>
          <w:p>
            <w:r>
              <w:br/>
            </w:r>
            <w:r>
              <w:br/>
            </w:r>
            <w:hyperlink w:history="true" r:id="R467a2789e3f7439a">
              <w:r>
                <w:rPr>
                  <w:rStyle w:val="Hyperlink"/>
                </w:rPr>
                <w:t xml:space="preserve">Indigenous primary health care NBEDS 2019–20</w:t>
              </w:r>
            </w:hyperlink>
          </w:p>
          <w:p>
            <w:pPr>
              <w:pStyle w:val="registration-status"/>
              <w:spacing w:before="0" w:after="0"/>
            </w:pPr>
            <w:hyperlink w:history="true" r:id="R86228291741b434e">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f2eb7feaf50441a2">
              <w:r>
                <w:rPr>
                  <w:rStyle w:val="Hyperlink"/>
                  <w:color w:val="244061"/>
                </w:rPr>
                <w:t xml:space="preserve">Indigenous</w:t>
              </w:r>
            </w:hyperlink>
            <w:r>
              <w:rPr>
                <w:rStyle w:val="row-content"/>
                <w:color w:val="244061"/>
              </w:rPr>
              <w:t xml:space="preserve">, Superseded 14/07/2021</w:t>
            </w:r>
          </w:p>
          <w:p>
            <w:r>
              <w:rPr>
                <w:rStyle w:val="row-content"/>
                <w:b/>
                <w:i/>
              </w:rPr>
              <w:t xml:space="preserve">Implementation start date: </w:t>
            </w:r>
            <w:r>
              <w:rPr>
                <w:rStyle w:val="row-content"/>
              </w:rPr>
              <w:t xml:space="preserve">01/07/2019</w:t>
            </w:r>
            <w:r>
              <w:br/>
            </w:r>
            <w:r>
              <w:rPr>
                <w:rStyle w:val="row-content"/>
                <w:b/>
                <w:i/>
              </w:rPr>
              <w:t xml:space="preserve">Implementation end date: </w:t>
            </w:r>
            <w:r>
              <w:rPr>
                <w:rStyle w:val="row-content"/>
              </w:rPr>
              <w:t xml:space="preserve">30/06/2020</w:t>
            </w:r>
            <w:r>
              <w:br/>
            </w:r>
            <w:r>
              <w:rPr>
                <w:rStyle w:val="row-content"/>
                <w:b/>
                <w:i/>
              </w:rPr>
              <w:t xml:space="preserve">Conditional obligation: </w:t>
            </w:r>
          </w:p>
          <w:p>
            <w:r>
              <w:rPr>
                <w:rStyle w:val="row-content"/>
              </w:rPr>
              <w:t xml:space="preserve">This item is only collected for persons aged 25 and older.</w:t>
            </w:r>
          </w:p>
          <w:p>
            <w:r>
              <w:br/>
            </w:r>
            <w:r>
              <w:br/>
            </w:r>
            <w:hyperlink w:history="true" r:id="R8a00f4f6aa3e4c5c">
              <w:r>
                <w:rPr>
                  <w:rStyle w:val="Hyperlink"/>
                </w:rPr>
                <w:t xml:space="preserve">Indigenous primary health care NBEDS 2020–21</w:t>
              </w:r>
            </w:hyperlink>
          </w:p>
          <w:p>
            <w:pPr>
              <w:pStyle w:val="registration-status"/>
              <w:spacing w:before="0" w:after="0"/>
            </w:pPr>
            <w:hyperlink w:history="true" r:id="Rbba93db8fd3f4c60">
              <w:r>
                <w:rPr>
                  <w:rStyle w:val="Hyperlink"/>
                  <w:color w:val="244061"/>
                </w:rPr>
                <w:t xml:space="preserve">Health</w:t>
              </w:r>
            </w:hyperlink>
            <w:r>
              <w:rPr>
                <w:rStyle w:val="row-content"/>
                <w:color w:val="244061"/>
              </w:rPr>
              <w:t xml:space="preserve">, Retired 13/10/2021</w:t>
            </w:r>
          </w:p>
          <w:p>
            <w:r>
              <w:rPr>
                <w:rStyle w:val="row-content"/>
                <w:b/>
                <w:i/>
              </w:rPr>
              <w:t xml:space="preserve">Implementation start date: </w:t>
            </w:r>
            <w:r>
              <w:rPr>
                <w:rStyle w:val="row-content"/>
              </w:rPr>
              <w:t xml:space="preserve">01/07/2020</w:t>
            </w:r>
            <w:r>
              <w:br/>
            </w:r>
            <w:r>
              <w:rPr>
                <w:rStyle w:val="row-content"/>
                <w:b/>
                <w:i/>
              </w:rPr>
              <w:t xml:space="preserve">Implementation end date: </w:t>
            </w:r>
            <w:r>
              <w:rPr>
                <w:rStyle w:val="row-content"/>
              </w:rPr>
              <w:t xml:space="preserve">30/06/2021</w:t>
            </w:r>
            <w:r>
              <w:br/>
            </w:r>
            <w:r>
              <w:rPr>
                <w:rStyle w:val="row-content"/>
                <w:b/>
                <w:i/>
              </w:rPr>
              <w:t xml:space="preserve">Conditional obligation: </w:t>
            </w:r>
          </w:p>
          <w:p>
            <w:r>
              <w:rPr>
                <w:rStyle w:val="row-content"/>
              </w:rPr>
              <w:t xml:space="preserve">This item is only collected for persons aged 25 and older.</w:t>
            </w:r>
          </w:p>
          <w:p>
            <w:r>
              <w:br/>
            </w:r>
            <w:r>
              <w:br/>
            </w:r>
            <w:hyperlink w:history="true" r:id="Ra4c644066c6d4c40">
              <w:r>
                <w:rPr>
                  <w:rStyle w:val="Hyperlink"/>
                </w:rPr>
                <w:t xml:space="preserve">Indigenous-specific primary health care NBEDS December 2020</w:t>
              </w:r>
            </w:hyperlink>
          </w:p>
          <w:p>
            <w:pPr>
              <w:pStyle w:val="registration-status"/>
              <w:spacing w:before="0" w:after="0"/>
            </w:pPr>
            <w:hyperlink w:history="true" r:id="Rd93d7fb0e1c94311">
              <w:r>
                <w:rPr>
                  <w:rStyle w:val="Hyperlink"/>
                  <w:color w:val="244061"/>
                </w:rPr>
                <w:t xml:space="preserve">Indigenous</w:t>
              </w:r>
            </w:hyperlink>
            <w:r>
              <w:rPr>
                <w:rStyle w:val="row-content"/>
                <w:color w:val="244061"/>
              </w:rPr>
              <w:t xml:space="preserve">, Superseded 03/07/2022</w:t>
            </w:r>
          </w:p>
          <w:p>
            <w:r>
              <w:rPr>
                <w:rStyle w:val="row-content"/>
                <w:b/>
                <w:i/>
              </w:rPr>
              <w:t xml:space="preserve">Implementation start date: </w:t>
            </w:r>
            <w:r>
              <w:rPr>
                <w:rStyle w:val="row-content"/>
              </w:rPr>
              <w:t xml:space="preserve">01/07/2020</w:t>
            </w:r>
            <w:r>
              <w:br/>
            </w:r>
            <w:r>
              <w:rPr>
                <w:rStyle w:val="row-content"/>
                <w:b/>
                <w:i/>
              </w:rPr>
              <w:t xml:space="preserve">Implementation end date: </w:t>
            </w:r>
            <w:r>
              <w:rPr>
                <w:rStyle w:val="row-content"/>
              </w:rPr>
              <w:t xml:space="preserve">31/12/2020</w:t>
            </w:r>
            <w:r>
              <w:br/>
            </w:r>
            <w:r>
              <w:rPr>
                <w:rStyle w:val="row-content"/>
                <w:b/>
                <w:i/>
              </w:rPr>
              <w:t xml:space="preserve">Conditional obligation: </w:t>
            </w:r>
          </w:p>
          <w:p>
            <w:r>
              <w:rPr>
                <w:rStyle w:val="row-content"/>
              </w:rPr>
              <w:t xml:space="preserve">Reporting against this data element is conditional on a person being aged ≥ 25 years at the census date and having recorded a 'CODE 1 Yes' response to '</w:t>
            </w:r>
            <w:hyperlink w:history="true" r:id="Ra7a0c54bc9d947a7">
              <w:r>
                <w:rPr>
                  <w:rStyle w:val="Hyperlink"/>
                </w:rPr>
                <w:t xml:space="preserve">Person—body mass index recorded indicator, yes/no code N</w:t>
              </w:r>
            </w:hyperlink>
            <w:r>
              <w:rPr>
                <w:rStyle w:val="row-content"/>
              </w:rPr>
              <w:t xml:space="preserv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ISPHC NBEDS only aggregated data with CODE 2.2 or 3 are provided to the AIHW.</w:t>
            </w:r>
          </w:p>
          <w:p>
            <w:r>
              <w:br/>
            </w:r>
            <w:r>
              <w:br/>
            </w:r>
            <w:hyperlink w:history="true" r:id="Reb2dcf689acd45db">
              <w:r>
                <w:rPr>
                  <w:rStyle w:val="Hyperlink"/>
                </w:rPr>
                <w:t xml:space="preserve">Indigenous-specific primary health care NBEDS December 2021</w:t>
              </w:r>
            </w:hyperlink>
          </w:p>
          <w:p>
            <w:pPr>
              <w:pStyle w:val="registration-status"/>
              <w:spacing w:before="0" w:after="0"/>
            </w:pPr>
            <w:hyperlink w:history="true" r:id="R6140697a13a44aff">
              <w:r>
                <w:rPr>
                  <w:rStyle w:val="Hyperlink"/>
                  <w:color w:val="244061"/>
                </w:rPr>
                <w:t xml:space="preserve">Indigenous</w:t>
              </w:r>
            </w:hyperlink>
            <w:r>
              <w:rPr>
                <w:rStyle w:val="row-content"/>
                <w:color w:val="244061"/>
              </w:rPr>
              <w:t xml:space="preserve">, Superseded 12/06/2023</w:t>
            </w:r>
          </w:p>
          <w:p>
            <w:r>
              <w:rPr>
                <w:rStyle w:val="row-content"/>
                <w:b/>
                <w:i/>
              </w:rPr>
              <w:t xml:space="preserve">Implementation start date: </w:t>
            </w:r>
            <w:r>
              <w:rPr>
                <w:rStyle w:val="row-content"/>
              </w:rPr>
              <w:t xml:space="preserve">01/07/2021</w:t>
            </w:r>
            <w:r>
              <w:br/>
            </w:r>
            <w:r>
              <w:rPr>
                <w:rStyle w:val="row-content"/>
                <w:b/>
                <w:i/>
              </w:rPr>
              <w:t xml:space="preserve">Implementation end date: </w:t>
            </w:r>
            <w:r>
              <w:rPr>
                <w:rStyle w:val="row-content"/>
              </w:rPr>
              <w:t xml:space="preserve">31/12/2021</w:t>
            </w:r>
            <w:r>
              <w:br/>
            </w:r>
            <w:r>
              <w:rPr>
                <w:rStyle w:val="row-content"/>
                <w:b/>
                <w:i/>
              </w:rPr>
              <w:t xml:space="preserve">Conditional obligation: </w:t>
            </w:r>
          </w:p>
          <w:p>
            <w:r>
              <w:rPr>
                <w:rStyle w:val="row-content"/>
              </w:rPr>
              <w:t xml:space="preserve">Reporting against this data element is conditional on a person being aged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ISPHC NBEDS only aggregated data with CODE 1.1, 1.2, 2.2, 3 or 9 are provided to the AIHW.</w:t>
            </w:r>
          </w:p>
          <w:p>
            <w:r>
              <w:br/>
            </w:r>
            <w:r>
              <w:br/>
            </w:r>
            <w:hyperlink w:history="true" r:id="Rb243971677fd4fff">
              <w:r>
                <w:rPr>
                  <w:rStyle w:val="Hyperlink"/>
                </w:rPr>
                <w:t xml:space="preserve">Indigenous-specific primary health care NBEDS December 2022</w:t>
              </w:r>
            </w:hyperlink>
          </w:p>
          <w:p>
            <w:pPr>
              <w:pStyle w:val="registration-status"/>
              <w:spacing w:before="0" w:after="0"/>
            </w:pPr>
            <w:hyperlink w:history="true" r:id="Rfd71e3a047d1455a">
              <w:r>
                <w:rPr>
                  <w:rStyle w:val="Hyperlink"/>
                  <w:color w:val="244061"/>
                </w:rPr>
                <w:t xml:space="preserve">Indigenous</w:t>
              </w:r>
            </w:hyperlink>
            <w:r>
              <w:rPr>
                <w:rStyle w:val="row-content"/>
                <w:color w:val="244061"/>
              </w:rPr>
              <w:t xml:space="preserve">, Superseded 18/12/2023</w:t>
            </w:r>
          </w:p>
          <w:p>
            <w:r>
              <w:rPr>
                <w:rStyle w:val="row-content"/>
                <w:b/>
                <w:i/>
              </w:rPr>
              <w:t xml:space="preserve">Implementation start date: </w:t>
            </w:r>
            <w:r>
              <w:rPr>
                <w:rStyle w:val="row-content"/>
              </w:rPr>
              <w:t xml:space="preserve">01/07/2022</w:t>
            </w:r>
            <w:r>
              <w:br/>
            </w:r>
            <w:r>
              <w:rPr>
                <w:rStyle w:val="row-content"/>
                <w:b/>
                <w:i/>
              </w:rPr>
              <w:t xml:space="preserve">Implementation end date: </w:t>
            </w:r>
            <w:r>
              <w:rPr>
                <w:rStyle w:val="row-content"/>
              </w:rPr>
              <w:t xml:space="preserve">31/12/2022</w:t>
            </w:r>
            <w:r>
              <w:br/>
            </w:r>
            <w:r>
              <w:rPr>
                <w:rStyle w:val="row-content"/>
                <w:b/>
                <w:i/>
              </w:rPr>
              <w:t xml:space="preserve">Conditional obligation: </w:t>
            </w:r>
          </w:p>
          <w:p>
            <w:r>
              <w:rPr>
                <w:rStyle w:val="row-content"/>
              </w:rPr>
              <w:t xml:space="preserve">Reporting against this data element is conditional on a person being aged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ISPHC NBEDS only aggregated data with CODE 1.1, 1.2, 2.2, 3 or 9 are provided to the AIHW.</w:t>
            </w:r>
          </w:p>
          <w:p>
            <w:r>
              <w:br/>
            </w:r>
            <w:r>
              <w:br/>
            </w:r>
            <w:hyperlink w:history="true" r:id="R0acb16d5943e421d">
              <w:r>
                <w:rPr>
                  <w:rStyle w:val="Hyperlink"/>
                </w:rPr>
                <w:t xml:space="preserve">Indigenous-specific primary health care NBEDS June 2021</w:t>
              </w:r>
            </w:hyperlink>
          </w:p>
          <w:p>
            <w:pPr>
              <w:pStyle w:val="registration-status"/>
              <w:spacing w:before="0" w:after="0"/>
            </w:pPr>
            <w:hyperlink w:history="true" r:id="Rb42ea7c9f9da4fdd">
              <w:r>
                <w:rPr>
                  <w:rStyle w:val="Hyperlink"/>
                  <w:color w:val="244061"/>
                </w:rPr>
                <w:t xml:space="preserve">Indigenous</w:t>
              </w:r>
            </w:hyperlink>
            <w:r>
              <w:rPr>
                <w:rStyle w:val="row-content"/>
                <w:color w:val="244061"/>
              </w:rPr>
              <w:t xml:space="preserve">, Superseded 06/11/2022</w:t>
            </w:r>
          </w:p>
          <w:p>
            <w:r>
              <w:rPr>
                <w:rStyle w:val="row-content"/>
                <w:b/>
                <w:i/>
              </w:rPr>
              <w:t xml:space="preserve">Implementation start date: </w:t>
            </w:r>
            <w:r>
              <w:rPr>
                <w:rStyle w:val="row-content"/>
              </w:rPr>
              <w:t xml:space="preserve">01/01/2021</w:t>
            </w:r>
            <w:r>
              <w:br/>
            </w:r>
            <w:r>
              <w:rPr>
                <w:rStyle w:val="row-content"/>
                <w:b/>
                <w:i/>
              </w:rPr>
              <w:t xml:space="preserve">Implementation end date: </w:t>
            </w:r>
            <w:r>
              <w:rPr>
                <w:rStyle w:val="row-content"/>
              </w:rPr>
              <w:t xml:space="preserve">30/06/2021</w:t>
            </w:r>
            <w:r>
              <w:br/>
            </w:r>
            <w:r>
              <w:rPr>
                <w:rStyle w:val="row-content"/>
                <w:b/>
                <w:i/>
              </w:rPr>
              <w:t xml:space="preserve">Conditional obligation: </w:t>
            </w:r>
          </w:p>
          <w:p>
            <w:r>
              <w:rPr>
                <w:rStyle w:val="row-content"/>
              </w:rPr>
              <w:t xml:space="preserve">Reporting against this data element is conditional on a person being aged ≥ 25 years at the census date and having recorded a 'CODE 1 Yes' response to '</w:t>
            </w:r>
            <w:hyperlink w:history="true" r:id="Rfd537c801bd74763">
              <w:r>
                <w:rPr>
                  <w:rStyle w:val="Hyperlink"/>
                </w:rPr>
                <w:t xml:space="preserve">Person—body mass index recorded indicator, yes/no code N</w:t>
              </w:r>
            </w:hyperlink>
            <w:r>
              <w:rPr>
                <w:rStyle w:val="row-content"/>
              </w:rPr>
              <w:t xml:space="preserv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ISPHC NBEDS only aggregated data with CODE 2.2 or 3 are provided to the AIHW.</w:t>
            </w:r>
          </w:p>
          <w:p>
            <w:r>
              <w:br/>
            </w:r>
            <w:r>
              <w:br/>
            </w:r>
            <w:hyperlink w:history="true" r:id="R3b6643f68bac4d28">
              <w:r>
                <w:rPr>
                  <w:rStyle w:val="Hyperlink"/>
                </w:rPr>
                <w:t xml:space="preserve">Indigenous-specific primary health care NBEDS June 2022</w:t>
              </w:r>
            </w:hyperlink>
          </w:p>
          <w:p>
            <w:pPr>
              <w:pStyle w:val="registration-status"/>
              <w:spacing w:before="0" w:after="0"/>
            </w:pPr>
            <w:hyperlink w:history="true" r:id="Rd65c6c58ca11494f">
              <w:r>
                <w:rPr>
                  <w:rStyle w:val="Hyperlink"/>
                  <w:color w:val="244061"/>
                </w:rPr>
                <w:t xml:space="preserve">Indigenous</w:t>
              </w:r>
            </w:hyperlink>
            <w:r>
              <w:rPr>
                <w:rStyle w:val="row-content"/>
                <w:color w:val="244061"/>
              </w:rPr>
              <w:t xml:space="preserve">, Superseded 27/08/2023</w:t>
            </w:r>
          </w:p>
          <w:p>
            <w:r>
              <w:rPr>
                <w:rStyle w:val="row-content"/>
                <w:b/>
                <w:i/>
              </w:rPr>
              <w:t xml:space="preserve">Implementation start date: </w:t>
            </w:r>
            <w:r>
              <w:rPr>
                <w:rStyle w:val="row-content"/>
              </w:rPr>
              <w:t xml:space="preserve">01/01/2022</w:t>
            </w:r>
            <w:r>
              <w:br/>
            </w:r>
            <w:r>
              <w:rPr>
                <w:rStyle w:val="row-content"/>
                <w:b/>
                <w:i/>
              </w:rPr>
              <w:t xml:space="preserve">Implementation end date: </w:t>
            </w:r>
            <w:r>
              <w:rPr>
                <w:rStyle w:val="row-content"/>
              </w:rPr>
              <w:t xml:space="preserve">30/06/2022</w:t>
            </w:r>
            <w:r>
              <w:br/>
            </w:r>
            <w:r>
              <w:rPr>
                <w:rStyle w:val="row-content"/>
                <w:b/>
                <w:i/>
              </w:rPr>
              <w:t xml:space="preserve">Conditional obligation: </w:t>
            </w:r>
          </w:p>
          <w:p>
            <w:r>
              <w:rPr>
                <w:rStyle w:val="row-content"/>
              </w:rPr>
              <w:t xml:space="preserve">Reporting against this data element is conditional on a person being aged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ISPHC NBEDS only aggregated data with CODE 1.1, 1.2, 2.2, 3 or 9 are provided to the AIHW.</w:t>
            </w:r>
          </w:p>
          <w:p>
            <w:r>
              <w:br/>
            </w:r>
            <w:r>
              <w:br/>
            </w:r>
            <w:hyperlink w:history="true" r:id="R81d707930d924085">
              <w:r>
                <w:rPr>
                  <w:rStyle w:val="Hyperlink"/>
                </w:rPr>
                <w:t xml:space="preserve">Indigenous-specific primary health care NBEDS June 2023</w:t>
              </w:r>
            </w:hyperlink>
          </w:p>
          <w:p>
            <w:pPr>
              <w:pStyle w:val="registration-status"/>
              <w:spacing w:before="0" w:after="0"/>
            </w:pPr>
            <w:hyperlink w:history="true" r:id="Rb7ff398f302b439f">
              <w:r>
                <w:rPr>
                  <w:rStyle w:val="Hyperlink"/>
                  <w:color w:val="244061"/>
                </w:rPr>
                <w:t xml:space="preserve">Indigenous</w:t>
              </w:r>
            </w:hyperlink>
            <w:r>
              <w:rPr>
                <w:rStyle w:val="row-content"/>
                <w:color w:val="244061"/>
              </w:rPr>
              <w:t xml:space="preserve">, Superseded 25/02/2024</w:t>
            </w:r>
          </w:p>
          <w:p>
            <w:r>
              <w:rPr>
                <w:rStyle w:val="row-content"/>
                <w:b/>
                <w:i/>
              </w:rPr>
              <w:t xml:space="preserve">Implementation start date: </w:t>
            </w:r>
            <w:r>
              <w:rPr>
                <w:rStyle w:val="row-content"/>
              </w:rPr>
              <w:t xml:space="preserve">01/01/2023</w:t>
            </w:r>
            <w:r>
              <w:br/>
            </w:r>
            <w:r>
              <w:rPr>
                <w:rStyle w:val="row-content"/>
                <w:b/>
                <w:i/>
              </w:rPr>
              <w:t xml:space="preserve">Implementation end date: </w:t>
            </w:r>
            <w:r>
              <w:rPr>
                <w:rStyle w:val="row-content"/>
              </w:rPr>
              <w:t xml:space="preserve">30/06/2023</w:t>
            </w:r>
            <w:r>
              <w:br/>
            </w:r>
            <w:r>
              <w:rPr>
                <w:rStyle w:val="row-content"/>
                <w:b/>
                <w:i/>
              </w:rPr>
              <w:t xml:space="preserve">Conditional obligation: </w:t>
            </w:r>
          </w:p>
          <w:p>
            <w:r>
              <w:rPr>
                <w:rStyle w:val="row-content"/>
              </w:rPr>
              <w:t xml:space="preserve">Reporting against this data element is conditional on a person being aged ≥ 18 years at the census date.</w:t>
            </w:r>
          </w:p>
          <w:p>
            <w:r>
              <w:rPr>
                <w:rStyle w:val="row-content"/>
              </w:rPr>
              <w:t xml:space="preserve">Data relating to only the most recently recorded result are provided to the AIHW.</w:t>
            </w:r>
          </w:p>
          <w:p>
            <w:r>
              <w:br/>
            </w:r>
            <w:r>
              <w:rPr>
                <w:rStyle w:val="row-content"/>
                <w:b/>
                <w:i/>
              </w:rPr>
              <w:t xml:space="preserve">DSS specific information: </w:t>
            </w:r>
          </w:p>
          <w:p>
            <w:r>
              <w:rPr>
                <w:rStyle w:val="row-content"/>
              </w:rPr>
              <w:t xml:space="preserve">In the ISPHC NBEDS only aggregated data with 'CODE 1.1 Underweight &lt; 18.50 Low (but risk of other clinical problems increased)', 'CODE 1.2 Normal range 18.50 - 24.99 Average', 'CODE 2.2 Pre Obese 25.00 - 29.99 Increased', 'CODE 3 Obese ≥ 30 Increased' or 'CODE 9 Not stated/inadequately described' are provided to the AIHW.</w:t>
            </w:r>
          </w:p>
          <w:p>
            <w:r>
              <w:br/>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Indicators: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rPr>
              <w:t xml:space="preserve">Used as Numerator</w:t>
            </w:r>
            <w:r>
              <w:br/>
            </w:r>
            <w:hyperlink w:history="true" r:id="R024091523e07432e">
              <w:r>
                <w:rPr>
                  <w:rStyle w:val="Hyperlink"/>
                </w:rPr>
                <w:t xml:space="preserve">First Nations-specific primary health care: PI12a-Number of First Nations regular clients who have a BMI result within a specified category, December 2023</w:t>
              </w:r>
            </w:hyperlink>
          </w:p>
          <w:p>
            <w:pPr>
              <w:pStyle w:val="registration-status"/>
              <w:spacing w:before="0" w:after="0"/>
            </w:pPr>
            <w:hyperlink w:history="true" r:id="R1e20d5bef2004c7b">
              <w:r>
                <w:rPr>
                  <w:rStyle w:val="Hyperlink"/>
                  <w:color w:val="244061"/>
                </w:rPr>
                <w:t xml:space="preserve">Indigenous</w:t>
              </w:r>
            </w:hyperlink>
            <w:r>
              <w:rPr>
                <w:rStyle w:val="row-content"/>
                <w:color w:val="244061"/>
              </w:rPr>
              <w:t xml:space="preserve">, Superseded 27/04/2024</w:t>
            </w:r>
          </w:p>
          <w:p>
            <w:r>
              <w:br/>
            </w:r>
            <w:hyperlink w:history="true" r:id="Rf6c9812aa623400d">
              <w:r>
                <w:rPr>
                  <w:rStyle w:val="Hyperlink"/>
                </w:rPr>
                <w:t xml:space="preserve">First Nations-specific primary health care: PI12a-Number of First Nations regular clients who have a BMI result within a specified category, December 2024</w:t>
              </w:r>
            </w:hyperlink>
          </w:p>
          <w:p>
            <w:pPr>
              <w:pStyle w:val="registration-status"/>
              <w:spacing w:before="0" w:after="0"/>
            </w:pPr>
            <w:hyperlink w:history="true" r:id="Rb62eb68bc574441d">
              <w:r>
                <w:rPr>
                  <w:rStyle w:val="Hyperlink"/>
                  <w:color w:val="244061"/>
                </w:rPr>
                <w:t xml:space="preserve">Indigenous</w:t>
              </w:r>
            </w:hyperlink>
            <w:r>
              <w:rPr>
                <w:rStyle w:val="row-content"/>
                <w:color w:val="244061"/>
              </w:rPr>
              <w:t xml:space="preserve">, Superseded 19/06/2025</w:t>
            </w:r>
          </w:p>
          <w:p>
            <w:r>
              <w:br/>
            </w:r>
            <w:hyperlink w:history="true" r:id="R1a2270c824e54fbc">
              <w:r>
                <w:rPr>
                  <w:rStyle w:val="Hyperlink"/>
                </w:rPr>
                <w:t xml:space="preserve">First Nations-specific primary health care: PI12a-Number of First Nations regular clients who have a BMI result within a specified category, December 2025</w:t>
              </w:r>
            </w:hyperlink>
          </w:p>
          <w:p>
            <w:pPr>
              <w:pStyle w:val="registration-status"/>
              <w:spacing w:before="0" w:after="0"/>
            </w:pPr>
            <w:hyperlink w:history="true" r:id="Rc40f101627404508">
              <w:r>
                <w:rPr>
                  <w:rStyle w:val="Hyperlink"/>
                  <w:color w:val="244061"/>
                </w:rPr>
                <w:t xml:space="preserve">Indigenous</w:t>
              </w:r>
            </w:hyperlink>
            <w:r>
              <w:rPr>
                <w:rStyle w:val="row-content"/>
                <w:color w:val="244061"/>
              </w:rPr>
              <w:t xml:space="preserve">, Standard 28/10/2025</w:t>
            </w:r>
          </w:p>
          <w:p>
            <w:r>
              <w:br/>
            </w:r>
            <w:hyperlink w:history="true" r:id="Ra9c6c4add8314e37">
              <w:r>
                <w:rPr>
                  <w:rStyle w:val="Hyperlink"/>
                </w:rPr>
                <w:t xml:space="preserve">First Nations-specific primary health care: PI12a-Number of First Nations regular clients who have a BMI result within a specified category, June 2024</w:t>
              </w:r>
            </w:hyperlink>
          </w:p>
          <w:p>
            <w:pPr>
              <w:pStyle w:val="registration-status"/>
              <w:spacing w:before="0" w:after="0"/>
            </w:pPr>
            <w:hyperlink w:history="true" r:id="R36090b75628845e2">
              <w:r>
                <w:rPr>
                  <w:rStyle w:val="Hyperlink"/>
                  <w:color w:val="244061"/>
                </w:rPr>
                <w:t xml:space="preserve">Indigenous</w:t>
              </w:r>
            </w:hyperlink>
            <w:r>
              <w:rPr>
                <w:rStyle w:val="row-content"/>
                <w:color w:val="244061"/>
              </w:rPr>
              <w:t xml:space="preserve">, Superseded 17/12/2024</w:t>
            </w:r>
          </w:p>
          <w:p>
            <w:r>
              <w:br/>
            </w:r>
            <w:hyperlink w:history="true" r:id="Rd331716af6804117">
              <w:r>
                <w:rPr>
                  <w:rStyle w:val="Hyperlink"/>
                </w:rPr>
                <w:t xml:space="preserve">First Nations-specific primary health care: PI12a-Number of First Nations regular clients who have a BMI result within a specified category, June 2025</w:t>
              </w:r>
            </w:hyperlink>
          </w:p>
          <w:p>
            <w:pPr>
              <w:pStyle w:val="registration-status"/>
              <w:spacing w:before="0" w:after="0"/>
            </w:pPr>
            <w:hyperlink w:history="true" r:id="R4b9fa4c575cb4194">
              <w:r>
                <w:rPr>
                  <w:rStyle w:val="Hyperlink"/>
                  <w:color w:val="244061"/>
                </w:rPr>
                <w:t xml:space="preserve">Indigenous</w:t>
              </w:r>
            </w:hyperlink>
            <w:r>
              <w:rPr>
                <w:rStyle w:val="row-content"/>
                <w:color w:val="244061"/>
              </w:rPr>
              <w:t xml:space="preserve">, Superseded 28/10/2025</w:t>
            </w:r>
          </w:p>
          <w:p>
            <w:r>
              <w:br/>
            </w:r>
            <w:hyperlink w:history="true" r:id="R832e0e300eb34232">
              <w:r>
                <w:rPr>
                  <w:rStyle w:val="Hyperlink"/>
                </w:rPr>
                <w:t xml:space="preserve">First Nations-specific primary health care: PI12b-Proportion of First Nations regular clients who have a BMI result within a specified category, December 2023</w:t>
              </w:r>
            </w:hyperlink>
          </w:p>
          <w:p>
            <w:pPr>
              <w:pStyle w:val="registration-status"/>
              <w:spacing w:before="0" w:after="0"/>
            </w:pPr>
            <w:hyperlink w:history="true" r:id="Rdb43dede60c041ee">
              <w:r>
                <w:rPr>
                  <w:rStyle w:val="Hyperlink"/>
                  <w:color w:val="244061"/>
                </w:rPr>
                <w:t xml:space="preserve">Indigenous</w:t>
              </w:r>
            </w:hyperlink>
            <w:r>
              <w:rPr>
                <w:rStyle w:val="row-content"/>
                <w:color w:val="244061"/>
              </w:rPr>
              <w:t xml:space="preserve">, Superseded 27/04/2024</w:t>
            </w:r>
          </w:p>
          <w:p>
            <w:r>
              <w:br/>
            </w:r>
            <w:hyperlink w:history="true" r:id="R6f8fe6ea37fc481e">
              <w:r>
                <w:rPr>
                  <w:rStyle w:val="Hyperlink"/>
                </w:rPr>
                <w:t xml:space="preserve">First Nations-specific primary health care: PI12b-Proportion of First Nations regular clients who have a BMI result within a specified category, December 2024</w:t>
              </w:r>
            </w:hyperlink>
          </w:p>
          <w:p>
            <w:pPr>
              <w:pStyle w:val="registration-status"/>
              <w:spacing w:before="0" w:after="0"/>
            </w:pPr>
            <w:hyperlink w:history="true" r:id="Re5b0325adaff44b0">
              <w:r>
                <w:rPr>
                  <w:rStyle w:val="Hyperlink"/>
                  <w:color w:val="244061"/>
                </w:rPr>
                <w:t xml:space="preserve">Indigenous</w:t>
              </w:r>
            </w:hyperlink>
            <w:r>
              <w:rPr>
                <w:rStyle w:val="row-content"/>
                <w:color w:val="244061"/>
              </w:rPr>
              <w:t xml:space="preserve">, Superseded 19/06/2025</w:t>
            </w:r>
          </w:p>
          <w:p>
            <w:r>
              <w:br/>
            </w:r>
            <w:hyperlink w:history="true" r:id="Rf29ec1193d674b3e">
              <w:r>
                <w:rPr>
                  <w:rStyle w:val="Hyperlink"/>
                </w:rPr>
                <w:t xml:space="preserve">First Nations-specific primary health care: PI12b-Proportion of First Nations regular clients who have a BMI result within a specified category, December 2025</w:t>
              </w:r>
            </w:hyperlink>
          </w:p>
          <w:p>
            <w:pPr>
              <w:pStyle w:val="registration-status"/>
              <w:spacing w:before="0" w:after="0"/>
            </w:pPr>
            <w:hyperlink w:history="true" r:id="R1783af38a9274e7f">
              <w:r>
                <w:rPr>
                  <w:rStyle w:val="Hyperlink"/>
                  <w:color w:val="244061"/>
                </w:rPr>
                <w:t xml:space="preserve">Indigenous</w:t>
              </w:r>
            </w:hyperlink>
            <w:r>
              <w:rPr>
                <w:rStyle w:val="row-content"/>
                <w:color w:val="244061"/>
              </w:rPr>
              <w:t xml:space="preserve">, Standard 28/10/2025</w:t>
            </w:r>
          </w:p>
          <w:p>
            <w:r>
              <w:br/>
            </w:r>
            <w:hyperlink w:history="true" r:id="R80bdb48b75884cae">
              <w:r>
                <w:rPr>
                  <w:rStyle w:val="Hyperlink"/>
                </w:rPr>
                <w:t xml:space="preserve">First Nations-specific primary health care: PI12b-Proportion of First Nations regular clients who have a BMI result within a specified category, June 2024</w:t>
              </w:r>
            </w:hyperlink>
          </w:p>
          <w:p>
            <w:pPr>
              <w:pStyle w:val="registration-status"/>
              <w:spacing w:before="0" w:after="0"/>
            </w:pPr>
            <w:hyperlink w:history="true" r:id="R42bba01a9fb54219">
              <w:r>
                <w:rPr>
                  <w:rStyle w:val="Hyperlink"/>
                  <w:color w:val="244061"/>
                </w:rPr>
                <w:t xml:space="preserve">Indigenous</w:t>
              </w:r>
            </w:hyperlink>
            <w:r>
              <w:rPr>
                <w:rStyle w:val="row-content"/>
                <w:color w:val="244061"/>
              </w:rPr>
              <w:t xml:space="preserve">, Superseded 17/12/2024</w:t>
            </w:r>
          </w:p>
          <w:p>
            <w:r>
              <w:br/>
            </w:r>
            <w:hyperlink w:history="true" r:id="R23fd347c1fdf46b3">
              <w:r>
                <w:rPr>
                  <w:rStyle w:val="Hyperlink"/>
                </w:rPr>
                <w:t xml:space="preserve">First Nations-specific primary health care: PI12b-Proportion of First Nations regular clients who have a BMI result within a specified category, June 2025</w:t>
              </w:r>
            </w:hyperlink>
          </w:p>
          <w:p>
            <w:pPr>
              <w:pStyle w:val="registration-status"/>
              <w:spacing w:before="0" w:after="0"/>
            </w:pPr>
            <w:hyperlink w:history="true" r:id="Rc6b5453fc35b443d">
              <w:r>
                <w:rPr>
                  <w:rStyle w:val="Hyperlink"/>
                  <w:color w:val="244061"/>
                </w:rPr>
                <w:t xml:space="preserve">Indigenous</w:t>
              </w:r>
            </w:hyperlink>
            <w:r>
              <w:rPr>
                <w:rStyle w:val="row-content"/>
                <w:color w:val="244061"/>
              </w:rPr>
              <w:t xml:space="preserve">, Superseded 28/10/2025</w:t>
            </w:r>
          </w:p>
          <w:p>
            <w:r>
              <w:br/>
            </w:r>
            <w:hyperlink w:history="true" r:id="R73aba7078ae54c42">
              <w:r>
                <w:rPr>
                  <w:rStyle w:val="Hyperlink"/>
                </w:rPr>
                <w:t xml:space="preserve">Indigenous primary health care: PI12a-Number of regular clients who are classified as overweight or obese, 2012</w:t>
              </w:r>
            </w:hyperlink>
          </w:p>
          <w:p>
            <w:pPr>
              <w:pStyle w:val="registration-status"/>
              <w:spacing w:before="0" w:after="0"/>
            </w:pPr>
            <w:hyperlink w:history="true" r:id="Rcd8e05da227d42cf">
              <w:r>
                <w:rPr>
                  <w:rStyle w:val="Hyperlink"/>
                  <w:color w:val="244061"/>
                </w:rPr>
                <w:t xml:space="preserve">Health</w:t>
              </w:r>
            </w:hyperlink>
            <w:r>
              <w:rPr>
                <w:rStyle w:val="row-content"/>
                <w:color w:val="244061"/>
              </w:rPr>
              <w:t xml:space="preserve">, Superseded 23/02/2012</w:t>
            </w:r>
          </w:p>
          <w:p>
            <w:r>
              <w:br/>
            </w:r>
            <w:hyperlink w:history="true" r:id="Rbf88e0b5acf84c6e">
              <w:r>
                <w:rPr>
                  <w:rStyle w:val="Hyperlink"/>
                </w:rPr>
                <w:t xml:space="preserve">Indigenous primary health care: PI12a-Number of regular clients who are classified as overweight or obese, 2013</w:t>
              </w:r>
            </w:hyperlink>
          </w:p>
          <w:p>
            <w:pPr>
              <w:pStyle w:val="registration-status"/>
              <w:spacing w:before="0" w:after="0"/>
            </w:pPr>
            <w:hyperlink w:history="true" r:id="R46b5770fbc8e48b4">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2b56a1c2d1464d5c">
              <w:r>
                <w:rPr>
                  <w:rStyle w:val="Hyperlink"/>
                  <w:color w:val="244061"/>
                </w:rPr>
                <w:t xml:space="preserve">Indigenous</w:t>
              </w:r>
            </w:hyperlink>
            <w:r>
              <w:rPr>
                <w:rStyle w:val="row-content"/>
                <w:color w:val="244061"/>
              </w:rPr>
              <w:t xml:space="preserve">, Superseded 21/11/2013</w:t>
            </w:r>
          </w:p>
          <w:p>
            <w:r>
              <w:br/>
            </w:r>
            <w:hyperlink w:history="true" r:id="R48bb9c59a29a4142">
              <w:r>
                <w:rPr>
                  <w:rStyle w:val="Hyperlink"/>
                </w:rPr>
                <w:t xml:space="preserve">Indigenous primary health care: PI12a-Number of regular clients who are classified as overweight or obese, 2014</w:t>
              </w:r>
            </w:hyperlink>
          </w:p>
          <w:p>
            <w:pPr>
              <w:pStyle w:val="registration-status"/>
              <w:spacing w:before="0" w:after="0"/>
            </w:pPr>
            <w:hyperlink w:history="true" r:id="R30daadac7e4247ae">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3f253dc95dcc48fc">
              <w:r>
                <w:rPr>
                  <w:rStyle w:val="Hyperlink"/>
                  <w:color w:val="244061"/>
                </w:rPr>
                <w:t xml:space="preserve">Indigenous</w:t>
              </w:r>
            </w:hyperlink>
            <w:r>
              <w:rPr>
                <w:rStyle w:val="row-content"/>
                <w:color w:val="244061"/>
              </w:rPr>
              <w:t xml:space="preserve">, Superseded 13/03/2015</w:t>
            </w:r>
          </w:p>
          <w:p>
            <w:r>
              <w:br/>
            </w:r>
            <w:hyperlink w:history="true" r:id="Rd5c8e9a44e8e4169">
              <w:r>
                <w:rPr>
                  <w:rStyle w:val="Hyperlink"/>
                </w:rPr>
                <w:t xml:space="preserve">Indigenous primary health care: PI12a-Number of regular clients who are classified as overweight or obese, 2015</w:t>
              </w:r>
            </w:hyperlink>
          </w:p>
          <w:p>
            <w:pPr>
              <w:pStyle w:val="registration-status"/>
              <w:spacing w:before="0" w:after="0"/>
            </w:pPr>
            <w:hyperlink w:history="true" r:id="R2ad19860a7394a68">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e4e501604b924c45">
              <w:r>
                <w:rPr>
                  <w:rStyle w:val="Hyperlink"/>
                  <w:color w:val="244061"/>
                </w:rPr>
                <w:t xml:space="preserve">Indigenous</w:t>
              </w:r>
            </w:hyperlink>
            <w:r>
              <w:rPr>
                <w:rStyle w:val="row-content"/>
                <w:color w:val="244061"/>
              </w:rPr>
              <w:t xml:space="preserve">, Superseded 20/01/2017</w:t>
            </w:r>
          </w:p>
          <w:p>
            <w:r>
              <w:br/>
            </w:r>
            <w:hyperlink w:history="true" r:id="R2f1a52ae83c24522">
              <w:r>
                <w:rPr>
                  <w:rStyle w:val="Hyperlink"/>
                </w:rPr>
                <w:t xml:space="preserve">Indigenous primary health care: PI12a-Number of regular clients who are classified as overweight or obese, 2015-2017</w:t>
              </w:r>
            </w:hyperlink>
          </w:p>
          <w:p>
            <w:pPr>
              <w:pStyle w:val="registration-status"/>
              <w:spacing w:before="0" w:after="0"/>
            </w:pPr>
            <w:hyperlink w:history="true" r:id="R48de4b656a7b45cf">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a83b6ed936d64984">
              <w:r>
                <w:rPr>
                  <w:rStyle w:val="Hyperlink"/>
                  <w:color w:val="244061"/>
                </w:rPr>
                <w:t xml:space="preserve">Indigenous</w:t>
              </w:r>
            </w:hyperlink>
            <w:r>
              <w:rPr>
                <w:rStyle w:val="row-content"/>
                <w:color w:val="244061"/>
              </w:rPr>
              <w:t xml:space="preserve">, Superseded 27/02/2018</w:t>
            </w:r>
          </w:p>
          <w:p>
            <w:r>
              <w:br/>
            </w:r>
            <w:hyperlink w:history="true" r:id="R3e700e678da94df0">
              <w:r>
                <w:rPr>
                  <w:rStyle w:val="Hyperlink"/>
                </w:rPr>
                <w:t xml:space="preserve">Indigenous primary health care: PI12a-Number of regular clients who are classified as overweight or obese, 2015-2017</w:t>
              </w:r>
            </w:hyperlink>
          </w:p>
          <w:p>
            <w:pPr>
              <w:pStyle w:val="registration-status"/>
              <w:spacing w:before="0" w:after="0"/>
            </w:pPr>
            <w:hyperlink w:history="true" r:id="R26e8a4377e16459a">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8dbf3927938b4689">
              <w:r>
                <w:rPr>
                  <w:rStyle w:val="Hyperlink"/>
                  <w:color w:val="244061"/>
                </w:rPr>
                <w:t xml:space="preserve">Indigenous</w:t>
              </w:r>
            </w:hyperlink>
            <w:r>
              <w:rPr>
                <w:rStyle w:val="row-content"/>
                <w:color w:val="244061"/>
              </w:rPr>
              <w:t xml:space="preserve">, Superseded 17/10/2018</w:t>
            </w:r>
          </w:p>
          <w:p>
            <w:r>
              <w:br/>
            </w:r>
            <w:hyperlink w:history="true" r:id="R4023bd1910ab4d20">
              <w:r>
                <w:rPr>
                  <w:rStyle w:val="Hyperlink"/>
                </w:rPr>
                <w:t xml:space="preserve">Indigenous primary health care: PI12a-Number of regular clients who are classified as overweight or obese, 2018-2019</w:t>
              </w:r>
            </w:hyperlink>
          </w:p>
          <w:p>
            <w:pPr>
              <w:pStyle w:val="registration-status"/>
              <w:spacing w:before="0" w:after="0"/>
            </w:pPr>
            <w:hyperlink w:history="true" r:id="R47c498661b544499">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1393c70a49394374">
              <w:r>
                <w:rPr>
                  <w:rStyle w:val="Hyperlink"/>
                  <w:color w:val="244061"/>
                </w:rPr>
                <w:t xml:space="preserve">Indigenous</w:t>
              </w:r>
            </w:hyperlink>
            <w:r>
              <w:rPr>
                <w:rStyle w:val="row-content"/>
                <w:color w:val="244061"/>
              </w:rPr>
              <w:t xml:space="preserve">, Superseded 14/07/2021</w:t>
            </w:r>
          </w:p>
          <w:p>
            <w:r>
              <w:br/>
            </w:r>
            <w:hyperlink w:history="true" r:id="R21a3f13fbea145bf">
              <w:r>
                <w:rPr>
                  <w:rStyle w:val="Hyperlink"/>
                </w:rPr>
                <w:t xml:space="preserve">Indigenous primary health care: PI12a-Number of regular clients who are classified as overweight or obese, June 2020</w:t>
              </w:r>
            </w:hyperlink>
          </w:p>
          <w:p>
            <w:pPr>
              <w:pStyle w:val="registration-status"/>
              <w:spacing w:before="0" w:after="0"/>
            </w:pPr>
            <w:hyperlink w:history="true" r:id="R0e696d870bfc41df">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d1b3200e1dd0490e">
              <w:r>
                <w:rPr>
                  <w:rStyle w:val="Hyperlink"/>
                  <w:color w:val="244061"/>
                </w:rPr>
                <w:t xml:space="preserve">Indigenous</w:t>
              </w:r>
            </w:hyperlink>
            <w:r>
              <w:rPr>
                <w:rStyle w:val="row-content"/>
                <w:color w:val="244061"/>
              </w:rPr>
              <w:t xml:space="preserve">, Superseded 14/07/2021</w:t>
            </w:r>
          </w:p>
          <w:p>
            <w:r>
              <w:br/>
            </w:r>
            <w:hyperlink w:history="true" r:id="Rb2a3db1b8def400d">
              <w:r>
                <w:rPr>
                  <w:rStyle w:val="Hyperlink"/>
                </w:rPr>
                <w:t xml:space="preserve">Indigenous primary health care: PI12b-Proportion of regular clients who are classified as overweight or obese, 2012</w:t>
              </w:r>
            </w:hyperlink>
          </w:p>
          <w:p>
            <w:pPr>
              <w:pStyle w:val="registration-status"/>
              <w:spacing w:before="0" w:after="0"/>
            </w:pPr>
            <w:hyperlink w:history="true" r:id="Rb24a54091fda40f6">
              <w:r>
                <w:rPr>
                  <w:rStyle w:val="Hyperlink"/>
                  <w:color w:val="244061"/>
                </w:rPr>
                <w:t xml:space="preserve">Health</w:t>
              </w:r>
            </w:hyperlink>
            <w:r>
              <w:rPr>
                <w:rStyle w:val="row-content"/>
                <w:color w:val="244061"/>
              </w:rPr>
              <w:t xml:space="preserve">, Superseded 23/02/2012</w:t>
            </w:r>
          </w:p>
          <w:p>
            <w:r>
              <w:br/>
            </w:r>
            <w:hyperlink w:history="true" r:id="Ra783e2fd1a824ef0">
              <w:r>
                <w:rPr>
                  <w:rStyle w:val="Hyperlink"/>
                </w:rPr>
                <w:t xml:space="preserve">Indigenous primary health care: PI12b-Proportion of regular clients who are classified as overweight or obese, 2013</w:t>
              </w:r>
            </w:hyperlink>
          </w:p>
          <w:p>
            <w:pPr>
              <w:pStyle w:val="registration-status"/>
              <w:spacing w:before="0" w:after="0"/>
            </w:pPr>
            <w:hyperlink w:history="true" r:id="R02a80bf2723e4f83">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4d873df9bbae478b">
              <w:r>
                <w:rPr>
                  <w:rStyle w:val="Hyperlink"/>
                  <w:color w:val="244061"/>
                </w:rPr>
                <w:t xml:space="preserve">Indigenous</w:t>
              </w:r>
            </w:hyperlink>
            <w:r>
              <w:rPr>
                <w:rStyle w:val="row-content"/>
                <w:color w:val="244061"/>
              </w:rPr>
              <w:t xml:space="preserve">, Superseded 21/11/2013</w:t>
            </w:r>
          </w:p>
          <w:p>
            <w:r>
              <w:br/>
            </w:r>
            <w:hyperlink w:history="true" r:id="Rce3d31d2defe4722">
              <w:r>
                <w:rPr>
                  <w:rStyle w:val="Hyperlink"/>
                </w:rPr>
                <w:t xml:space="preserve">Indigenous primary health care: PI12b-Proportion of regular clients who are classified as overweight or obese, 2014</w:t>
              </w:r>
            </w:hyperlink>
          </w:p>
          <w:p>
            <w:pPr>
              <w:pStyle w:val="registration-status"/>
              <w:spacing w:before="0" w:after="0"/>
            </w:pPr>
            <w:hyperlink w:history="true" r:id="Rcd7a535736e34a69">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af3d72033586489f">
              <w:r>
                <w:rPr>
                  <w:rStyle w:val="Hyperlink"/>
                  <w:color w:val="244061"/>
                </w:rPr>
                <w:t xml:space="preserve">Indigenous</w:t>
              </w:r>
            </w:hyperlink>
            <w:r>
              <w:rPr>
                <w:rStyle w:val="row-content"/>
                <w:color w:val="244061"/>
              </w:rPr>
              <w:t xml:space="preserve">, Superseded 13/03/2015</w:t>
            </w:r>
          </w:p>
          <w:p>
            <w:r>
              <w:br/>
            </w:r>
            <w:hyperlink w:history="true" r:id="Rb5662df876634de3">
              <w:r>
                <w:rPr>
                  <w:rStyle w:val="Hyperlink"/>
                </w:rPr>
                <w:t xml:space="preserve">Indigenous primary health care: PI12b-Proportion of regular clients who are classified as overweight or obese, 2015</w:t>
              </w:r>
            </w:hyperlink>
          </w:p>
          <w:p>
            <w:pPr>
              <w:pStyle w:val="registration-status"/>
              <w:spacing w:before="0" w:after="0"/>
            </w:pPr>
            <w:hyperlink w:history="true" r:id="R052ecc5f9649478c">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7e823fc65c614d26">
              <w:r>
                <w:rPr>
                  <w:rStyle w:val="Hyperlink"/>
                  <w:color w:val="244061"/>
                </w:rPr>
                <w:t xml:space="preserve">Indigenous</w:t>
              </w:r>
            </w:hyperlink>
            <w:r>
              <w:rPr>
                <w:rStyle w:val="row-content"/>
                <w:color w:val="244061"/>
              </w:rPr>
              <w:t xml:space="preserve">, Superseded 20/01/2017</w:t>
            </w:r>
          </w:p>
          <w:p>
            <w:r>
              <w:br/>
            </w:r>
            <w:hyperlink w:history="true" r:id="R20dc78d747fb4a53">
              <w:r>
                <w:rPr>
                  <w:rStyle w:val="Hyperlink"/>
                </w:rPr>
                <w:t xml:space="preserve">Indigenous primary health care: PI12b-Proportion of regular clients who are classified as overweight or obese, 2015-2017</w:t>
              </w:r>
            </w:hyperlink>
          </w:p>
          <w:p>
            <w:pPr>
              <w:pStyle w:val="registration-status"/>
              <w:spacing w:before="0" w:after="0"/>
            </w:pPr>
            <w:hyperlink w:history="true" r:id="Ra4ccbcfd5d1242fd">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9dbec023a16242d1">
              <w:r>
                <w:rPr>
                  <w:rStyle w:val="Hyperlink"/>
                  <w:color w:val="244061"/>
                </w:rPr>
                <w:t xml:space="preserve">Indigenous</w:t>
              </w:r>
            </w:hyperlink>
            <w:r>
              <w:rPr>
                <w:rStyle w:val="row-content"/>
                <w:color w:val="244061"/>
              </w:rPr>
              <w:t xml:space="preserve">, Superseded 17/10/2018</w:t>
            </w:r>
          </w:p>
          <w:p>
            <w:r>
              <w:br/>
            </w:r>
            <w:hyperlink w:history="true" r:id="Rabab70049e2b41d0">
              <w:r>
                <w:rPr>
                  <w:rStyle w:val="Hyperlink"/>
                </w:rPr>
                <w:t xml:space="preserve">Indigenous primary health care: PI12b-Proportion of regular clients who are classified as overweight or obese, 2015-2017</w:t>
              </w:r>
            </w:hyperlink>
          </w:p>
          <w:p>
            <w:pPr>
              <w:pStyle w:val="registration-status"/>
              <w:spacing w:before="0" w:after="0"/>
            </w:pPr>
            <w:hyperlink w:history="true" r:id="R24e8d319b7aa4f72">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f43a821fccff4187">
              <w:r>
                <w:rPr>
                  <w:rStyle w:val="Hyperlink"/>
                  <w:color w:val="244061"/>
                </w:rPr>
                <w:t xml:space="preserve">Indigenous</w:t>
              </w:r>
            </w:hyperlink>
            <w:r>
              <w:rPr>
                <w:rStyle w:val="row-content"/>
                <w:color w:val="244061"/>
              </w:rPr>
              <w:t xml:space="preserve">, Superseded 27/02/2018</w:t>
            </w:r>
          </w:p>
          <w:p>
            <w:r>
              <w:br/>
            </w:r>
            <w:hyperlink w:history="true" r:id="Raa7203923de04588">
              <w:r>
                <w:rPr>
                  <w:rStyle w:val="Hyperlink"/>
                </w:rPr>
                <w:t xml:space="preserve">Indigenous primary health care: PI12b-Proportion of regular clients who are classified as overweight or obese, 2018-2019</w:t>
              </w:r>
            </w:hyperlink>
          </w:p>
          <w:p>
            <w:pPr>
              <w:pStyle w:val="registration-status"/>
              <w:spacing w:before="0" w:after="0"/>
            </w:pPr>
            <w:hyperlink w:history="true" r:id="Re8b06b92025646b8">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ce2bd004ce4b4acf">
              <w:r>
                <w:rPr>
                  <w:rStyle w:val="Hyperlink"/>
                  <w:color w:val="244061"/>
                </w:rPr>
                <w:t xml:space="preserve">Indigenous</w:t>
              </w:r>
            </w:hyperlink>
            <w:r>
              <w:rPr>
                <w:rStyle w:val="row-content"/>
                <w:color w:val="244061"/>
              </w:rPr>
              <w:t xml:space="preserve">, Superseded 14/07/2021</w:t>
            </w:r>
          </w:p>
          <w:p>
            <w:r>
              <w:br/>
            </w:r>
            <w:hyperlink w:history="true" r:id="Rebe5297f924149ef">
              <w:r>
                <w:rPr>
                  <w:rStyle w:val="Hyperlink"/>
                </w:rPr>
                <w:t xml:space="preserve">Indigenous primary health care: PI12b-Proportion of regular clients who are classified as overweight or obese, June 2020</w:t>
              </w:r>
            </w:hyperlink>
          </w:p>
          <w:p>
            <w:pPr>
              <w:pStyle w:val="registration-status"/>
              <w:spacing w:before="0" w:after="0"/>
            </w:pPr>
            <w:hyperlink w:history="true" r:id="Rf642896b32374d39">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1983492be3344e1a">
              <w:r>
                <w:rPr>
                  <w:rStyle w:val="Hyperlink"/>
                  <w:color w:val="244061"/>
                </w:rPr>
                <w:t xml:space="preserve">Indigenous</w:t>
              </w:r>
            </w:hyperlink>
            <w:r>
              <w:rPr>
                <w:rStyle w:val="row-content"/>
                <w:color w:val="244061"/>
              </w:rPr>
              <w:t xml:space="preserve">, Superseded 14/07/2021</w:t>
            </w:r>
          </w:p>
          <w:p>
            <w:r>
              <w:br/>
            </w:r>
            <w:hyperlink w:history="true" r:id="R008048cfbe0e4efa">
              <w:r>
                <w:rPr>
                  <w:rStyle w:val="Hyperlink"/>
                </w:rPr>
                <w:t xml:space="preserve">Indigenous-specific primary health care: PI12a-Number of Indigenous regular clients classified as overweight or obese, December 2020</w:t>
              </w:r>
            </w:hyperlink>
          </w:p>
          <w:p>
            <w:pPr>
              <w:pStyle w:val="registration-status"/>
              <w:spacing w:before="0" w:after="0"/>
            </w:pPr>
            <w:hyperlink w:history="true" r:id="R43ed4b1aedee42bc">
              <w:r>
                <w:rPr>
                  <w:rStyle w:val="Hyperlink"/>
                  <w:color w:val="244061"/>
                </w:rPr>
                <w:t xml:space="preserve">Indigenous</w:t>
              </w:r>
            </w:hyperlink>
            <w:r>
              <w:rPr>
                <w:rStyle w:val="row-content"/>
                <w:color w:val="244061"/>
              </w:rPr>
              <w:t xml:space="preserve">, Superseded 03/07/2022</w:t>
            </w:r>
          </w:p>
          <w:p>
            <w:r>
              <w:br/>
            </w:r>
            <w:hyperlink w:history="true" r:id="Rb00258ad63ee4d29">
              <w:r>
                <w:rPr>
                  <w:rStyle w:val="Hyperlink"/>
                </w:rPr>
                <w:t xml:space="preserve">Indigenous-specific primary health care: PI12a-Number of Indigenous regular clients classified as overweight or obese, June 2021</w:t>
              </w:r>
            </w:hyperlink>
          </w:p>
          <w:p>
            <w:pPr>
              <w:pStyle w:val="registration-status"/>
              <w:spacing w:before="0" w:after="0"/>
            </w:pPr>
            <w:hyperlink w:history="true" r:id="R60529bb6f0da4690">
              <w:r>
                <w:rPr>
                  <w:rStyle w:val="Hyperlink"/>
                  <w:color w:val="244061"/>
                </w:rPr>
                <w:t xml:space="preserve">Indigenous</w:t>
              </w:r>
            </w:hyperlink>
            <w:r>
              <w:rPr>
                <w:rStyle w:val="row-content"/>
                <w:color w:val="244061"/>
              </w:rPr>
              <w:t xml:space="preserve">, Superseded 06/11/2022</w:t>
            </w:r>
          </w:p>
          <w:p>
            <w:r>
              <w:br/>
            </w:r>
            <w:hyperlink w:history="true" r:id="R484ce2a8014a4e5b">
              <w:r>
                <w:rPr>
                  <w:rStyle w:val="Hyperlink"/>
                </w:rPr>
                <w:t xml:space="preserve">Indigenous-specific primary health care: PI12a-Number of Indigenous regular clients who have a BMI result within a specified category, December 2021</w:t>
              </w:r>
            </w:hyperlink>
          </w:p>
          <w:p>
            <w:pPr>
              <w:pStyle w:val="registration-status"/>
              <w:spacing w:before="0" w:after="0"/>
            </w:pPr>
            <w:hyperlink w:history="true" r:id="Rd9ec032f441c488f">
              <w:r>
                <w:rPr>
                  <w:rStyle w:val="Hyperlink"/>
                  <w:color w:val="244061"/>
                </w:rPr>
                <w:t xml:space="preserve">Indigenous</w:t>
              </w:r>
            </w:hyperlink>
            <w:r>
              <w:rPr>
                <w:rStyle w:val="row-content"/>
                <w:color w:val="244061"/>
              </w:rPr>
              <w:t xml:space="preserve">, Superseded 12/06/2023</w:t>
            </w:r>
          </w:p>
          <w:p>
            <w:r>
              <w:br/>
            </w:r>
            <w:hyperlink w:history="true" r:id="R8ce50620f8494b64">
              <w:r>
                <w:rPr>
                  <w:rStyle w:val="Hyperlink"/>
                </w:rPr>
                <w:t xml:space="preserve">Indigenous-specific primary health care: PI12a-Number of Indigenous regular clients who have a BMI result within a specified category, December 2022</w:t>
              </w:r>
            </w:hyperlink>
          </w:p>
          <w:p>
            <w:pPr>
              <w:pStyle w:val="registration-status"/>
              <w:spacing w:before="0" w:after="0"/>
            </w:pPr>
            <w:hyperlink w:history="true" r:id="R5f601d986b8c4157">
              <w:r>
                <w:rPr>
                  <w:rStyle w:val="Hyperlink"/>
                  <w:color w:val="244061"/>
                </w:rPr>
                <w:t xml:space="preserve">Indigenous</w:t>
              </w:r>
            </w:hyperlink>
            <w:r>
              <w:rPr>
                <w:rStyle w:val="row-content"/>
                <w:color w:val="244061"/>
              </w:rPr>
              <w:t xml:space="preserve">, Superseded 18/12/2023</w:t>
            </w:r>
          </w:p>
          <w:p>
            <w:r>
              <w:br/>
            </w:r>
            <w:hyperlink w:history="true" r:id="R555dbe2f18db48fc">
              <w:r>
                <w:rPr>
                  <w:rStyle w:val="Hyperlink"/>
                </w:rPr>
                <w:t xml:space="preserve">Indigenous-specific primary health care: PI12a-Number of Indigenous regular clients who have a BMI result within a specified category, June 2022</w:t>
              </w:r>
            </w:hyperlink>
          </w:p>
          <w:p>
            <w:pPr>
              <w:pStyle w:val="registration-status"/>
              <w:spacing w:before="0" w:after="0"/>
            </w:pPr>
            <w:hyperlink w:history="true" r:id="Rb59aff7e8a904932">
              <w:r>
                <w:rPr>
                  <w:rStyle w:val="Hyperlink"/>
                  <w:color w:val="244061"/>
                </w:rPr>
                <w:t xml:space="preserve">Indigenous</w:t>
              </w:r>
            </w:hyperlink>
            <w:r>
              <w:rPr>
                <w:rStyle w:val="row-content"/>
                <w:color w:val="244061"/>
              </w:rPr>
              <w:t xml:space="preserve">, Superseded 27/08/2023</w:t>
            </w:r>
          </w:p>
          <w:p>
            <w:r>
              <w:br/>
            </w:r>
            <w:hyperlink w:history="true" r:id="R555dfbcf4eb64c20">
              <w:r>
                <w:rPr>
                  <w:rStyle w:val="Hyperlink"/>
                </w:rPr>
                <w:t xml:space="preserve">Indigenous-specific primary health care: PI12a-Number of Indigenous regular clients who have a BMI result within a specified category, June 2023</w:t>
              </w:r>
            </w:hyperlink>
          </w:p>
          <w:p>
            <w:pPr>
              <w:pStyle w:val="registration-status"/>
              <w:spacing w:before="0" w:after="0"/>
            </w:pPr>
            <w:hyperlink w:history="true" r:id="R3293bb7c168b420a">
              <w:r>
                <w:rPr>
                  <w:rStyle w:val="Hyperlink"/>
                  <w:color w:val="244061"/>
                </w:rPr>
                <w:t xml:space="preserve">Indigenous</w:t>
              </w:r>
            </w:hyperlink>
            <w:r>
              <w:rPr>
                <w:rStyle w:val="row-content"/>
                <w:color w:val="244061"/>
              </w:rPr>
              <w:t xml:space="preserve">, Superseded 25/02/2024</w:t>
            </w:r>
          </w:p>
          <w:p>
            <w:r>
              <w:br/>
            </w:r>
            <w:hyperlink w:history="true" r:id="Rd963fd33c6614c13">
              <w:r>
                <w:rPr>
                  <w:rStyle w:val="Hyperlink"/>
                </w:rPr>
                <w:t xml:space="preserve">Indigenous-specific primary health care: PI12b-Proportion of Indigenous regular clients classified as overweight or obese, June 2021</w:t>
              </w:r>
            </w:hyperlink>
          </w:p>
          <w:p>
            <w:pPr>
              <w:pStyle w:val="registration-status"/>
              <w:spacing w:before="0" w:after="0"/>
            </w:pPr>
            <w:hyperlink w:history="true" r:id="R93b71ce2212c4c78">
              <w:r>
                <w:rPr>
                  <w:rStyle w:val="Hyperlink"/>
                  <w:color w:val="244061"/>
                </w:rPr>
                <w:t xml:space="preserve">Indigenous</w:t>
              </w:r>
            </w:hyperlink>
            <w:r>
              <w:rPr>
                <w:rStyle w:val="row-content"/>
                <w:color w:val="244061"/>
              </w:rPr>
              <w:t xml:space="preserve">, Superseded 06/11/2022</w:t>
            </w:r>
          </w:p>
          <w:p>
            <w:r>
              <w:br/>
            </w:r>
            <w:hyperlink w:history="true" r:id="Radee2ec10cde4d28">
              <w:r>
                <w:rPr>
                  <w:rStyle w:val="Hyperlink"/>
                </w:rPr>
                <w:t xml:space="preserve">Indigenous-specific primary health care: PI12b-Proportion of Indigenous regular clients regular clients classified as overweight or obese, December 2020</w:t>
              </w:r>
            </w:hyperlink>
          </w:p>
          <w:p>
            <w:pPr>
              <w:pStyle w:val="registration-status"/>
              <w:spacing w:before="0" w:after="0"/>
            </w:pPr>
            <w:hyperlink w:history="true" r:id="Rcb709af6d25f4232">
              <w:r>
                <w:rPr>
                  <w:rStyle w:val="Hyperlink"/>
                  <w:color w:val="244061"/>
                </w:rPr>
                <w:t xml:space="preserve">Indigenous</w:t>
              </w:r>
            </w:hyperlink>
            <w:r>
              <w:rPr>
                <w:rStyle w:val="row-content"/>
                <w:color w:val="244061"/>
              </w:rPr>
              <w:t xml:space="preserve">, Superseded 03/07/2022</w:t>
            </w:r>
          </w:p>
          <w:p>
            <w:r>
              <w:br/>
            </w:r>
            <w:hyperlink w:history="true" r:id="R5a11dc4c0e2142e5">
              <w:r>
                <w:rPr>
                  <w:rStyle w:val="Hyperlink"/>
                </w:rPr>
                <w:t xml:space="preserve">Indigenous-specific primary health care: PI12b-Proportion of Indigenous regular clients who have a BMI result within a specified category, December 2021</w:t>
              </w:r>
            </w:hyperlink>
          </w:p>
          <w:p>
            <w:pPr>
              <w:pStyle w:val="registration-status"/>
              <w:spacing w:before="0" w:after="0"/>
            </w:pPr>
            <w:hyperlink w:history="true" r:id="R75a0a1fa6f30465e">
              <w:r>
                <w:rPr>
                  <w:rStyle w:val="Hyperlink"/>
                  <w:color w:val="244061"/>
                </w:rPr>
                <w:t xml:space="preserve">Indigenous</w:t>
              </w:r>
            </w:hyperlink>
            <w:r>
              <w:rPr>
                <w:rStyle w:val="row-content"/>
                <w:color w:val="244061"/>
              </w:rPr>
              <w:t xml:space="preserve">, Superseded 12/06/2023</w:t>
            </w:r>
          </w:p>
          <w:p>
            <w:r>
              <w:br/>
            </w:r>
            <w:hyperlink w:history="true" r:id="R3807bd2b602d4a95">
              <w:r>
                <w:rPr>
                  <w:rStyle w:val="Hyperlink"/>
                </w:rPr>
                <w:t xml:space="preserve">Indigenous-specific primary health care: PI12b-Proportion of Indigenous regular clients who have a BMI result within a specified category, December 2022</w:t>
              </w:r>
            </w:hyperlink>
          </w:p>
          <w:p>
            <w:pPr>
              <w:pStyle w:val="registration-status"/>
              <w:spacing w:before="0" w:after="0"/>
            </w:pPr>
            <w:hyperlink w:history="true" r:id="R828b744e3a9244ab">
              <w:r>
                <w:rPr>
                  <w:rStyle w:val="Hyperlink"/>
                  <w:color w:val="244061"/>
                </w:rPr>
                <w:t xml:space="preserve">Indigenous</w:t>
              </w:r>
            </w:hyperlink>
            <w:r>
              <w:rPr>
                <w:rStyle w:val="row-content"/>
                <w:color w:val="244061"/>
              </w:rPr>
              <w:t xml:space="preserve">, Superseded 18/12/2023</w:t>
            </w:r>
          </w:p>
          <w:p>
            <w:r>
              <w:br/>
            </w:r>
            <w:hyperlink w:history="true" r:id="R9d6aa1e062d4425f">
              <w:r>
                <w:rPr>
                  <w:rStyle w:val="Hyperlink"/>
                </w:rPr>
                <w:t xml:space="preserve">Indigenous-specific primary health care: PI12b-Proportion of Indigenous regular clients who have a BMI result within a specified category, June 2022</w:t>
              </w:r>
            </w:hyperlink>
          </w:p>
          <w:p>
            <w:pPr>
              <w:pStyle w:val="registration-status"/>
              <w:spacing w:before="0" w:after="0"/>
            </w:pPr>
            <w:hyperlink w:history="true" r:id="Rab128a4d145c4637">
              <w:r>
                <w:rPr>
                  <w:rStyle w:val="Hyperlink"/>
                  <w:color w:val="244061"/>
                </w:rPr>
                <w:t xml:space="preserve">Indigenous</w:t>
              </w:r>
            </w:hyperlink>
            <w:r>
              <w:rPr>
                <w:rStyle w:val="row-content"/>
                <w:color w:val="244061"/>
              </w:rPr>
              <w:t xml:space="preserve">, Superseded 27/08/2023</w:t>
            </w:r>
          </w:p>
          <w:p>
            <w:r>
              <w:br/>
            </w:r>
            <w:hyperlink w:history="true" r:id="Rd480b1e886db4f08">
              <w:r>
                <w:rPr>
                  <w:rStyle w:val="Hyperlink"/>
                </w:rPr>
                <w:t xml:space="preserve">Indigenous-specific primary health care: PI12b-Proportion of Indigenous regular clients who have a BMI result within a specified category, June 2023</w:t>
              </w:r>
            </w:hyperlink>
          </w:p>
          <w:p>
            <w:pPr>
              <w:pStyle w:val="registration-status"/>
              <w:spacing w:before="0" w:after="0"/>
            </w:pPr>
            <w:hyperlink w:history="true" r:id="Rb5a6b86377ab4d98">
              <w:r>
                <w:rPr>
                  <w:rStyle w:val="Hyperlink"/>
                  <w:color w:val="244061"/>
                </w:rPr>
                <w:t xml:space="preserve">Indigenous</w:t>
              </w:r>
            </w:hyperlink>
            <w:r>
              <w:rPr>
                <w:rStyle w:val="row-content"/>
                <w:color w:val="244061"/>
              </w:rPr>
              <w:t xml:space="preserve">, Superseded 25/02/2024</w:t>
            </w:r>
          </w:p>
          <w:p>
            <w:r>
              <w:br/>
            </w:r>
          </w:p>
        </w:tc>
      </w:tr>
    </w:tbl>
    <w:p/>
    <w:tbl>
      <w:tblPr>
        <w:tblStyle w:val="TableGrid"/>
        <w:tblW w:w="0" w:type="auto"/>
      </w:tblPr>
    </w:tbl>
    <w:p>
      <w:r>
        <w:br/>
      </w:r>
    </w:p>
    <w:sectPr>
      <w:footerReference xmlns:r="http://schemas.openxmlformats.org/officeDocument/2006/relationships" w:type="default" r:id="R2631cc2dc7764568"/>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270474</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d5365cdbbd174769"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2631cc2dc7764568" /><Relationship Type="http://schemas.openxmlformats.org/officeDocument/2006/relationships/header" Target="/word/header1.xml" Id="Rcb7ef9b1d9e14fc6" /><Relationship Type="http://schemas.openxmlformats.org/officeDocument/2006/relationships/settings" Target="/word/settings.xml" Id="Rb074593b6aba47fc" /><Relationship Type="http://schemas.openxmlformats.org/officeDocument/2006/relationships/styles" Target="/word/styles.xml" Id="R279d57bc62e44144" /><Relationship Type="http://schemas.openxmlformats.org/officeDocument/2006/relationships/hyperlink" Target="https://meteor.aihw.gov.au/RegistrationAuthority/12" TargetMode="External" Id="R669660e360d64133" /><Relationship Type="http://schemas.openxmlformats.org/officeDocument/2006/relationships/hyperlink" Target="https://meteor.aihw.gov.au/RegistrationAuthority/6" TargetMode="External" Id="Rf04b0012b94b49de" /><Relationship Type="http://schemas.openxmlformats.org/officeDocument/2006/relationships/hyperlink" Target="https://meteor.aihw.gov.au/content/269558" TargetMode="External" Id="R49de3f9433de488f" /><Relationship Type="http://schemas.openxmlformats.org/officeDocument/2006/relationships/hyperlink" Target="https://meteor.aihw.gov.au/content/311166" TargetMode="External" Id="R0b9264eb80e04302" /><Relationship Type="http://schemas.openxmlformats.org/officeDocument/2006/relationships/hyperlink" Target="https://meteor.aihw.gov.au/content/273839" TargetMode="External" Id="R57d9f846016a4c8f" /><Relationship Type="http://schemas.openxmlformats.org/officeDocument/2006/relationships/hyperlink" Target="https://meteor.aihw.gov.au/content/270086" TargetMode="External" Id="Rd7187ac18a9143ff" /><Relationship Type="http://schemas.openxmlformats.org/officeDocument/2006/relationships/hyperlink" Target="https://meteor.aihw.gov.au/RegistrationAuthority/12" TargetMode="External" Id="R268ff5ef91a14dee" /><Relationship Type="http://schemas.openxmlformats.org/officeDocument/2006/relationships/hyperlink" Target="https://meteor.aihw.gov.au/RegistrationAuthority/8" TargetMode="External" Id="Ra24407996b044fcc" /><Relationship Type="http://schemas.openxmlformats.org/officeDocument/2006/relationships/hyperlink" Target="https://meteor.aihw.gov.au/content/270085" TargetMode="External" Id="R5bd59a58387e4f2c" /><Relationship Type="http://schemas.openxmlformats.org/officeDocument/2006/relationships/hyperlink" Target="https://meteor.aihw.gov.au/RegistrationAuthority/12" TargetMode="External" Id="Re13527ad0bda4112" /><Relationship Type="http://schemas.openxmlformats.org/officeDocument/2006/relationships/hyperlink" Target="https://meteor.aihw.gov.au/content/787920" TargetMode="External" Id="Ra12946df94604fbe" /><Relationship Type="http://schemas.openxmlformats.org/officeDocument/2006/relationships/hyperlink" Target="https://meteor.aihw.gov.au/RegistrationAuthority/6" TargetMode="External" Id="R69981248f5154c73" /><Relationship Type="http://schemas.openxmlformats.org/officeDocument/2006/relationships/hyperlink" Target="https://meteor.aihw.gov.au/content/303794" TargetMode="External" Id="R2d5243fbee2f4f01" /><Relationship Type="http://schemas.openxmlformats.org/officeDocument/2006/relationships/hyperlink" Target="https://meteor.aihw.gov.au/content/798340" TargetMode="External" Id="Rfda92b39b3504457" /><Relationship Type="http://schemas.openxmlformats.org/officeDocument/2006/relationships/hyperlink" Target="https://meteor.aihw.gov.au/RegistrationAuthority/6" TargetMode="External" Id="Rc04af2484e0b4663" /><Relationship Type="http://schemas.openxmlformats.org/officeDocument/2006/relationships/hyperlink" Target="https://meteor.aihw.gov.au/content/303794" TargetMode="External" Id="R16b3fac734b34186" /><Relationship Type="http://schemas.openxmlformats.org/officeDocument/2006/relationships/hyperlink" Target="https://meteor.aihw.gov.au/content/808484" TargetMode="External" Id="R325dc0288cfc41d4" /><Relationship Type="http://schemas.openxmlformats.org/officeDocument/2006/relationships/hyperlink" Target="https://meteor.aihw.gov.au/RegistrationAuthority/6" TargetMode="External" Id="R528d719d56dd479d" /><Relationship Type="http://schemas.openxmlformats.org/officeDocument/2006/relationships/hyperlink" Target="https://meteor.aihw.gov.au/content/303794" TargetMode="External" Id="Ra7f5240bee134228" /><Relationship Type="http://schemas.openxmlformats.org/officeDocument/2006/relationships/hyperlink" Target="https://meteor.aihw.gov.au/content/789146" TargetMode="External" Id="Rb9416745eff345a6" /><Relationship Type="http://schemas.openxmlformats.org/officeDocument/2006/relationships/hyperlink" Target="https://meteor.aihw.gov.au/RegistrationAuthority/6" TargetMode="External" Id="R37b37c5ef5444d04" /><Relationship Type="http://schemas.openxmlformats.org/officeDocument/2006/relationships/hyperlink" Target="https://meteor.aihw.gov.au/content/303794" TargetMode="External" Id="Re8e135170bdd47e4" /><Relationship Type="http://schemas.openxmlformats.org/officeDocument/2006/relationships/hyperlink" Target="https://meteor.aihw.gov.au/content/804343" TargetMode="External" Id="Rfd81312d20194d9b" /><Relationship Type="http://schemas.openxmlformats.org/officeDocument/2006/relationships/hyperlink" Target="https://meteor.aihw.gov.au/RegistrationAuthority/6" TargetMode="External" Id="R3be9711dd937419b" /><Relationship Type="http://schemas.openxmlformats.org/officeDocument/2006/relationships/hyperlink" Target="https://meteor.aihw.gov.au/content/303794" TargetMode="External" Id="Rdbeea96c366e45e0" /><Relationship Type="http://schemas.openxmlformats.org/officeDocument/2006/relationships/hyperlink" Target="https://meteor.aihw.gov.au/content/430629" TargetMode="External" Id="Rcaf8ecc65e7d4357" /><Relationship Type="http://schemas.openxmlformats.org/officeDocument/2006/relationships/hyperlink" Target="https://meteor.aihw.gov.au/RegistrationAuthority/12" TargetMode="External" Id="Rdc3a24330a7b42b9" /><Relationship Type="http://schemas.openxmlformats.org/officeDocument/2006/relationships/hyperlink" Target="https://meteor.aihw.gov.au/RegistrationAuthority/6" TargetMode="External" Id="R2efeefb6721845e0" /><Relationship Type="http://schemas.openxmlformats.org/officeDocument/2006/relationships/hyperlink" Target="https://meteor.aihw.gov.au/content/504325" TargetMode="External" Id="Re645a41f569247d8" /><Relationship Type="http://schemas.openxmlformats.org/officeDocument/2006/relationships/hyperlink" Target="https://meteor.aihw.gov.au/RegistrationAuthority/12" TargetMode="External" Id="R65f48c04dde940b0" /><Relationship Type="http://schemas.openxmlformats.org/officeDocument/2006/relationships/hyperlink" Target="https://meteor.aihw.gov.au/RegistrationAuthority/6" TargetMode="External" Id="Rfd7240a0799742b8" /><Relationship Type="http://schemas.openxmlformats.org/officeDocument/2006/relationships/hyperlink" Target="https://meteor.aihw.gov.au/content/585036" TargetMode="External" Id="R7f990f26327245fd" /><Relationship Type="http://schemas.openxmlformats.org/officeDocument/2006/relationships/hyperlink" Target="https://meteor.aihw.gov.au/RegistrationAuthority/12" TargetMode="External" Id="Ra6fd1c0a80004edc" /><Relationship Type="http://schemas.openxmlformats.org/officeDocument/2006/relationships/hyperlink" Target="https://meteor.aihw.gov.au/RegistrationAuthority/6" TargetMode="External" Id="Reff09406af6a40ee" /><Relationship Type="http://schemas.openxmlformats.org/officeDocument/2006/relationships/hyperlink" Target="https://meteor.aihw.gov.au/content/686603" TargetMode="External" Id="Rc222050977cf4988" /><Relationship Type="http://schemas.openxmlformats.org/officeDocument/2006/relationships/hyperlink" Target="https://meteor.aihw.gov.au/RegistrationAuthority/12" TargetMode="External" Id="R0b32c291eab34751" /><Relationship Type="http://schemas.openxmlformats.org/officeDocument/2006/relationships/hyperlink" Target="https://meteor.aihw.gov.au/RegistrationAuthority/6" TargetMode="External" Id="R260d77cc98d0477c" /><Relationship Type="http://schemas.openxmlformats.org/officeDocument/2006/relationships/hyperlink" Target="https://meteor.aihw.gov.au/content/694101" TargetMode="External" Id="Rf6774e811f4146b0" /><Relationship Type="http://schemas.openxmlformats.org/officeDocument/2006/relationships/hyperlink" Target="https://meteor.aihw.gov.au/RegistrationAuthority/12" TargetMode="External" Id="R4059223279f140e2" /><Relationship Type="http://schemas.openxmlformats.org/officeDocument/2006/relationships/hyperlink" Target="https://meteor.aihw.gov.au/RegistrationAuthority/6" TargetMode="External" Id="Rb7e8b976242a4aba" /><Relationship Type="http://schemas.openxmlformats.org/officeDocument/2006/relationships/hyperlink" Target="https://meteor.aihw.gov.au/content/707502" TargetMode="External" Id="R467a2789e3f7439a" /><Relationship Type="http://schemas.openxmlformats.org/officeDocument/2006/relationships/hyperlink" Target="https://meteor.aihw.gov.au/RegistrationAuthority/12" TargetMode="External" Id="R86228291741b434e" /><Relationship Type="http://schemas.openxmlformats.org/officeDocument/2006/relationships/hyperlink" Target="https://meteor.aihw.gov.au/RegistrationAuthority/6" TargetMode="External" Id="Rf2eb7feaf50441a2" /><Relationship Type="http://schemas.openxmlformats.org/officeDocument/2006/relationships/hyperlink" Target="https://meteor.aihw.gov.au/content/715320" TargetMode="External" Id="R8a00f4f6aa3e4c5c" /><Relationship Type="http://schemas.openxmlformats.org/officeDocument/2006/relationships/hyperlink" Target="https://meteor.aihw.gov.au/RegistrationAuthority/12" TargetMode="External" Id="Rbba93db8fd3f4c60" /><Relationship Type="http://schemas.openxmlformats.org/officeDocument/2006/relationships/hyperlink" Target="https://meteor.aihw.gov.au/content/738532" TargetMode="External" Id="Ra4c644066c6d4c40" /><Relationship Type="http://schemas.openxmlformats.org/officeDocument/2006/relationships/hyperlink" Target="https://meteor.aihw.gov.au/RegistrationAuthority/6" TargetMode="External" Id="Rd93d7fb0e1c94311" /><Relationship Type="http://schemas.openxmlformats.org/officeDocument/2006/relationships/hyperlink" Target="https://meteor.aihw.gov.au/content/443083" TargetMode="External" Id="Ra7a0c54bc9d947a7" /><Relationship Type="http://schemas.openxmlformats.org/officeDocument/2006/relationships/hyperlink" Target="https://meteor.aihw.gov.au/content/762318" TargetMode="External" Id="Reb2dcf689acd45db" /><Relationship Type="http://schemas.openxmlformats.org/officeDocument/2006/relationships/hyperlink" Target="https://meteor.aihw.gov.au/RegistrationAuthority/6" TargetMode="External" Id="R6140697a13a44aff" /><Relationship Type="http://schemas.openxmlformats.org/officeDocument/2006/relationships/hyperlink" Target="https://meteor.aihw.gov.au/content/779011" TargetMode="External" Id="Rb243971677fd4fff" /><Relationship Type="http://schemas.openxmlformats.org/officeDocument/2006/relationships/hyperlink" Target="https://meteor.aihw.gov.au/RegistrationAuthority/6" TargetMode="External" Id="Rfd71e3a047d1455a" /><Relationship Type="http://schemas.openxmlformats.org/officeDocument/2006/relationships/hyperlink" Target="https://meteor.aihw.gov.au/content/747374" TargetMode="External" Id="R0acb16d5943e421d" /><Relationship Type="http://schemas.openxmlformats.org/officeDocument/2006/relationships/hyperlink" Target="https://meteor.aihw.gov.au/RegistrationAuthority/6" TargetMode="External" Id="Rb42ea7c9f9da4fdd" /><Relationship Type="http://schemas.openxmlformats.org/officeDocument/2006/relationships/hyperlink" Target="https://meteor.aihw.gov.au/content/443083" TargetMode="External" Id="Rfd537c801bd74763" /><Relationship Type="http://schemas.openxmlformats.org/officeDocument/2006/relationships/hyperlink" Target="https://meteor.aihw.gov.au/content/770355" TargetMode="External" Id="R3b6643f68bac4d28" /><Relationship Type="http://schemas.openxmlformats.org/officeDocument/2006/relationships/hyperlink" Target="https://meteor.aihw.gov.au/RegistrationAuthority/6" TargetMode="External" Id="Rd65c6c58ca11494f" /><Relationship Type="http://schemas.openxmlformats.org/officeDocument/2006/relationships/hyperlink" Target="https://meteor.aihw.gov.au/content/782621" TargetMode="External" Id="R81d707930d924085" /><Relationship Type="http://schemas.openxmlformats.org/officeDocument/2006/relationships/hyperlink" Target="https://meteor.aihw.gov.au/RegistrationAuthority/6" TargetMode="External" Id="Rb7ff398f302b439f" /><Relationship Type="http://schemas.openxmlformats.org/officeDocument/2006/relationships/hyperlink" Target="https://meteor.aihw.gov.au/content/787975" TargetMode="External" Id="R024091523e07432e" /><Relationship Type="http://schemas.openxmlformats.org/officeDocument/2006/relationships/hyperlink" Target="https://meteor.aihw.gov.au/RegistrationAuthority/6" TargetMode="External" Id="R1e20d5bef2004c7b" /><Relationship Type="http://schemas.openxmlformats.org/officeDocument/2006/relationships/hyperlink" Target="https://meteor.aihw.gov.au/content/798416" TargetMode="External" Id="Rf6c9812aa623400d" /><Relationship Type="http://schemas.openxmlformats.org/officeDocument/2006/relationships/hyperlink" Target="https://meteor.aihw.gov.au/RegistrationAuthority/6" TargetMode="External" Id="Rb62eb68bc574441d" /><Relationship Type="http://schemas.openxmlformats.org/officeDocument/2006/relationships/hyperlink" Target="https://meteor.aihw.gov.au/content/809963" TargetMode="External" Id="R1a2270c824e54fbc" /><Relationship Type="http://schemas.openxmlformats.org/officeDocument/2006/relationships/hyperlink" Target="https://meteor.aihw.gov.au/RegistrationAuthority/6" TargetMode="External" Id="Rc40f101627404508" /><Relationship Type="http://schemas.openxmlformats.org/officeDocument/2006/relationships/hyperlink" Target="https://meteor.aihw.gov.au/content/789200" TargetMode="External" Id="Ra9c6c4add8314e37" /><Relationship Type="http://schemas.openxmlformats.org/officeDocument/2006/relationships/hyperlink" Target="https://meteor.aihw.gov.au/RegistrationAuthority/6" TargetMode="External" Id="R36090b75628845e2" /><Relationship Type="http://schemas.openxmlformats.org/officeDocument/2006/relationships/hyperlink" Target="https://meteor.aihw.gov.au/content/804408" TargetMode="External" Id="Rd331716af6804117" /><Relationship Type="http://schemas.openxmlformats.org/officeDocument/2006/relationships/hyperlink" Target="https://meteor.aihw.gov.au/RegistrationAuthority/6" TargetMode="External" Id="R4b9fa4c575cb4194" /><Relationship Type="http://schemas.openxmlformats.org/officeDocument/2006/relationships/hyperlink" Target="https://meteor.aihw.gov.au/content/787977" TargetMode="External" Id="R832e0e300eb34232" /><Relationship Type="http://schemas.openxmlformats.org/officeDocument/2006/relationships/hyperlink" Target="https://meteor.aihw.gov.au/RegistrationAuthority/6" TargetMode="External" Id="Rdb43dede60c041ee" /><Relationship Type="http://schemas.openxmlformats.org/officeDocument/2006/relationships/hyperlink" Target="https://meteor.aihw.gov.au/content/798418" TargetMode="External" Id="R6f8fe6ea37fc481e" /><Relationship Type="http://schemas.openxmlformats.org/officeDocument/2006/relationships/hyperlink" Target="https://meteor.aihw.gov.au/RegistrationAuthority/6" TargetMode="External" Id="Re5b0325adaff44b0" /><Relationship Type="http://schemas.openxmlformats.org/officeDocument/2006/relationships/hyperlink" Target="https://meteor.aihw.gov.au/content/809966" TargetMode="External" Id="Rf29ec1193d674b3e" /><Relationship Type="http://schemas.openxmlformats.org/officeDocument/2006/relationships/hyperlink" Target="https://meteor.aihw.gov.au/RegistrationAuthority/6" TargetMode="External" Id="R1783af38a9274e7f" /><Relationship Type="http://schemas.openxmlformats.org/officeDocument/2006/relationships/hyperlink" Target="https://meteor.aihw.gov.au/content/789202" TargetMode="External" Id="R80bdb48b75884cae" /><Relationship Type="http://schemas.openxmlformats.org/officeDocument/2006/relationships/hyperlink" Target="https://meteor.aihw.gov.au/RegistrationAuthority/6" TargetMode="External" Id="R42bba01a9fb54219" /><Relationship Type="http://schemas.openxmlformats.org/officeDocument/2006/relationships/hyperlink" Target="https://meteor.aihw.gov.au/content/804410" TargetMode="External" Id="R23fd347c1fdf46b3" /><Relationship Type="http://schemas.openxmlformats.org/officeDocument/2006/relationships/hyperlink" Target="https://meteor.aihw.gov.au/RegistrationAuthority/6" TargetMode="External" Id="Rc6b5453fc35b443d" /><Relationship Type="http://schemas.openxmlformats.org/officeDocument/2006/relationships/hyperlink" Target="https://meteor.aihw.gov.au/content/432455" TargetMode="External" Id="R73aba7078ae54c42" /><Relationship Type="http://schemas.openxmlformats.org/officeDocument/2006/relationships/hyperlink" Target="https://meteor.aihw.gov.au/RegistrationAuthority/12" TargetMode="External" Id="Rcd8e05da227d42cf" /><Relationship Type="http://schemas.openxmlformats.org/officeDocument/2006/relationships/hyperlink" Target="https://meteor.aihw.gov.au/content/468117" TargetMode="External" Id="Rbf88e0b5acf84c6e" /><Relationship Type="http://schemas.openxmlformats.org/officeDocument/2006/relationships/hyperlink" Target="https://meteor.aihw.gov.au/RegistrationAuthority/12" TargetMode="External" Id="R46b5770fbc8e48b4" /><Relationship Type="http://schemas.openxmlformats.org/officeDocument/2006/relationships/hyperlink" Target="https://meteor.aihw.gov.au/RegistrationAuthority/6" TargetMode="External" Id="R2b56a1c2d1464d5c" /><Relationship Type="http://schemas.openxmlformats.org/officeDocument/2006/relationships/hyperlink" Target="https://meteor.aihw.gov.au/content/504718" TargetMode="External" Id="R48bb9c59a29a4142" /><Relationship Type="http://schemas.openxmlformats.org/officeDocument/2006/relationships/hyperlink" Target="https://meteor.aihw.gov.au/RegistrationAuthority/12" TargetMode="External" Id="R30daadac7e4247ae" /><Relationship Type="http://schemas.openxmlformats.org/officeDocument/2006/relationships/hyperlink" Target="https://meteor.aihw.gov.au/RegistrationAuthority/6" TargetMode="External" Id="R3f253dc95dcc48fc" /><Relationship Type="http://schemas.openxmlformats.org/officeDocument/2006/relationships/hyperlink" Target="https://meteor.aihw.gov.au/content/589039" TargetMode="External" Id="Rd5c8e9a44e8e4169" /><Relationship Type="http://schemas.openxmlformats.org/officeDocument/2006/relationships/hyperlink" Target="https://meteor.aihw.gov.au/RegistrationAuthority/12" TargetMode="External" Id="R2ad19860a7394a68" /><Relationship Type="http://schemas.openxmlformats.org/officeDocument/2006/relationships/hyperlink" Target="https://meteor.aihw.gov.au/RegistrationAuthority/6" TargetMode="External" Id="Re4e501604b924c45" /><Relationship Type="http://schemas.openxmlformats.org/officeDocument/2006/relationships/hyperlink" Target="https://meteor.aihw.gov.au/content/663944" TargetMode="External" Id="R2f1a52ae83c24522" /><Relationship Type="http://schemas.openxmlformats.org/officeDocument/2006/relationships/hyperlink" Target="https://meteor.aihw.gov.au/RegistrationAuthority/12" TargetMode="External" Id="R48de4b656a7b45cf" /><Relationship Type="http://schemas.openxmlformats.org/officeDocument/2006/relationships/hyperlink" Target="https://meteor.aihw.gov.au/RegistrationAuthority/6" TargetMode="External" Id="Ra83b6ed936d64984" /><Relationship Type="http://schemas.openxmlformats.org/officeDocument/2006/relationships/hyperlink" Target="https://meteor.aihw.gov.au/content/686468" TargetMode="External" Id="R3e700e678da94df0" /><Relationship Type="http://schemas.openxmlformats.org/officeDocument/2006/relationships/hyperlink" Target="https://meteor.aihw.gov.au/RegistrationAuthority/12" TargetMode="External" Id="R26e8a4377e16459a" /><Relationship Type="http://schemas.openxmlformats.org/officeDocument/2006/relationships/hyperlink" Target="https://meteor.aihw.gov.au/RegistrationAuthority/6" TargetMode="External" Id="R8dbf3927938b4689" /><Relationship Type="http://schemas.openxmlformats.org/officeDocument/2006/relationships/hyperlink" Target="https://meteor.aihw.gov.au/content/687970" TargetMode="External" Id="R4023bd1910ab4d20" /><Relationship Type="http://schemas.openxmlformats.org/officeDocument/2006/relationships/hyperlink" Target="https://meteor.aihw.gov.au/RegistrationAuthority/12" TargetMode="External" Id="R47c498661b544499" /><Relationship Type="http://schemas.openxmlformats.org/officeDocument/2006/relationships/hyperlink" Target="https://meteor.aihw.gov.au/RegistrationAuthority/6" TargetMode="External" Id="R1393c70a49394374" /><Relationship Type="http://schemas.openxmlformats.org/officeDocument/2006/relationships/hyperlink" Target="https://meteor.aihw.gov.au/content/717312" TargetMode="External" Id="R21a3f13fbea145bf" /><Relationship Type="http://schemas.openxmlformats.org/officeDocument/2006/relationships/hyperlink" Target="https://meteor.aihw.gov.au/RegistrationAuthority/12" TargetMode="External" Id="R0e696d870bfc41df" /><Relationship Type="http://schemas.openxmlformats.org/officeDocument/2006/relationships/hyperlink" Target="https://meteor.aihw.gov.au/RegistrationAuthority/6" TargetMode="External" Id="Rd1b3200e1dd0490e" /><Relationship Type="http://schemas.openxmlformats.org/officeDocument/2006/relationships/hyperlink" Target="https://meteor.aihw.gov.au/content/430733" TargetMode="External" Id="Rb2a3db1b8def400d" /><Relationship Type="http://schemas.openxmlformats.org/officeDocument/2006/relationships/hyperlink" Target="https://meteor.aihw.gov.au/RegistrationAuthority/12" TargetMode="External" Id="Rb24a54091fda40f6" /><Relationship Type="http://schemas.openxmlformats.org/officeDocument/2006/relationships/hyperlink" Target="https://meteor.aihw.gov.au/content/468119" TargetMode="External" Id="Ra783e2fd1a824ef0" /><Relationship Type="http://schemas.openxmlformats.org/officeDocument/2006/relationships/hyperlink" Target="https://meteor.aihw.gov.au/RegistrationAuthority/12" TargetMode="External" Id="R02a80bf2723e4f83" /><Relationship Type="http://schemas.openxmlformats.org/officeDocument/2006/relationships/hyperlink" Target="https://meteor.aihw.gov.au/RegistrationAuthority/6" TargetMode="External" Id="R4d873df9bbae478b" /><Relationship Type="http://schemas.openxmlformats.org/officeDocument/2006/relationships/hyperlink" Target="https://meteor.aihw.gov.au/content/504729" TargetMode="External" Id="Rce3d31d2defe4722" /><Relationship Type="http://schemas.openxmlformats.org/officeDocument/2006/relationships/hyperlink" Target="https://meteor.aihw.gov.au/RegistrationAuthority/12" TargetMode="External" Id="Rcd7a535736e34a69" /><Relationship Type="http://schemas.openxmlformats.org/officeDocument/2006/relationships/hyperlink" Target="https://meteor.aihw.gov.au/RegistrationAuthority/6" TargetMode="External" Id="Raf3d72033586489f" /><Relationship Type="http://schemas.openxmlformats.org/officeDocument/2006/relationships/hyperlink" Target="https://meteor.aihw.gov.au/content/589041" TargetMode="External" Id="Rb5662df876634de3" /><Relationship Type="http://schemas.openxmlformats.org/officeDocument/2006/relationships/hyperlink" Target="https://meteor.aihw.gov.au/RegistrationAuthority/12" TargetMode="External" Id="R052ecc5f9649478c" /><Relationship Type="http://schemas.openxmlformats.org/officeDocument/2006/relationships/hyperlink" Target="https://meteor.aihw.gov.au/RegistrationAuthority/6" TargetMode="External" Id="R7e823fc65c614d26" /><Relationship Type="http://schemas.openxmlformats.org/officeDocument/2006/relationships/hyperlink" Target="https://meteor.aihw.gov.au/content/686470" TargetMode="External" Id="R20dc78d747fb4a53" /><Relationship Type="http://schemas.openxmlformats.org/officeDocument/2006/relationships/hyperlink" Target="https://meteor.aihw.gov.au/RegistrationAuthority/12" TargetMode="External" Id="Ra4ccbcfd5d1242fd" /><Relationship Type="http://schemas.openxmlformats.org/officeDocument/2006/relationships/hyperlink" Target="https://meteor.aihw.gov.au/RegistrationAuthority/6" TargetMode="External" Id="R9dbec023a16242d1" /><Relationship Type="http://schemas.openxmlformats.org/officeDocument/2006/relationships/hyperlink" Target="https://meteor.aihw.gov.au/content/663934" TargetMode="External" Id="Rabab70049e2b41d0" /><Relationship Type="http://schemas.openxmlformats.org/officeDocument/2006/relationships/hyperlink" Target="https://meteor.aihw.gov.au/RegistrationAuthority/12" TargetMode="External" Id="R24e8d319b7aa4f72" /><Relationship Type="http://schemas.openxmlformats.org/officeDocument/2006/relationships/hyperlink" Target="https://meteor.aihw.gov.au/RegistrationAuthority/6" TargetMode="External" Id="Rf43a821fccff4187" /><Relationship Type="http://schemas.openxmlformats.org/officeDocument/2006/relationships/hyperlink" Target="https://meteor.aihw.gov.au/content/687972" TargetMode="External" Id="Raa7203923de04588" /><Relationship Type="http://schemas.openxmlformats.org/officeDocument/2006/relationships/hyperlink" Target="https://meteor.aihw.gov.au/RegistrationAuthority/12" TargetMode="External" Id="Re8b06b92025646b8" /><Relationship Type="http://schemas.openxmlformats.org/officeDocument/2006/relationships/hyperlink" Target="https://meteor.aihw.gov.au/RegistrationAuthority/6" TargetMode="External" Id="Rce2bd004ce4b4acf" /><Relationship Type="http://schemas.openxmlformats.org/officeDocument/2006/relationships/hyperlink" Target="https://meteor.aihw.gov.au/content/717314" TargetMode="External" Id="Rebe5297f924149ef" /><Relationship Type="http://schemas.openxmlformats.org/officeDocument/2006/relationships/hyperlink" Target="https://meteor.aihw.gov.au/RegistrationAuthority/12" TargetMode="External" Id="Rf642896b32374d39" /><Relationship Type="http://schemas.openxmlformats.org/officeDocument/2006/relationships/hyperlink" Target="https://meteor.aihw.gov.au/RegistrationAuthority/6" TargetMode="External" Id="R1983492be3344e1a" /><Relationship Type="http://schemas.openxmlformats.org/officeDocument/2006/relationships/hyperlink" Target="https://meteor.aihw.gov.au/content/739384" TargetMode="External" Id="R008048cfbe0e4efa" /><Relationship Type="http://schemas.openxmlformats.org/officeDocument/2006/relationships/hyperlink" Target="https://meteor.aihw.gov.au/RegistrationAuthority/6" TargetMode="External" Id="R43ed4b1aedee42bc" /><Relationship Type="http://schemas.openxmlformats.org/officeDocument/2006/relationships/hyperlink" Target="https://meteor.aihw.gov.au/content/747559" TargetMode="External" Id="Rb00258ad63ee4d29" /><Relationship Type="http://schemas.openxmlformats.org/officeDocument/2006/relationships/hyperlink" Target="https://meteor.aihw.gov.au/RegistrationAuthority/6" TargetMode="External" Id="R60529bb6f0da4690" /><Relationship Type="http://schemas.openxmlformats.org/officeDocument/2006/relationships/hyperlink" Target="https://meteor.aihw.gov.au/content/762568" TargetMode="External" Id="R484ce2a8014a4e5b" /><Relationship Type="http://schemas.openxmlformats.org/officeDocument/2006/relationships/hyperlink" Target="https://meteor.aihw.gov.au/RegistrationAuthority/6" TargetMode="External" Id="Rd9ec032f441c488f" /><Relationship Type="http://schemas.openxmlformats.org/officeDocument/2006/relationships/hyperlink" Target="https://meteor.aihw.gov.au/content/779072" TargetMode="External" Id="R8ce50620f8494b64" /><Relationship Type="http://schemas.openxmlformats.org/officeDocument/2006/relationships/hyperlink" Target="https://meteor.aihw.gov.au/RegistrationAuthority/6" TargetMode="External" Id="R5f601d986b8c4157" /><Relationship Type="http://schemas.openxmlformats.org/officeDocument/2006/relationships/hyperlink" Target="https://meteor.aihw.gov.au/content/772314" TargetMode="External" Id="R555dbe2f18db48fc" /><Relationship Type="http://schemas.openxmlformats.org/officeDocument/2006/relationships/hyperlink" Target="https://meteor.aihw.gov.au/RegistrationAuthority/6" TargetMode="External" Id="Rb59aff7e8a904932" /><Relationship Type="http://schemas.openxmlformats.org/officeDocument/2006/relationships/hyperlink" Target="https://meteor.aihw.gov.au/content/782687" TargetMode="External" Id="R555dfbcf4eb64c20" /><Relationship Type="http://schemas.openxmlformats.org/officeDocument/2006/relationships/hyperlink" Target="https://meteor.aihw.gov.au/RegistrationAuthority/6" TargetMode="External" Id="R3293bb7c168b420a" /><Relationship Type="http://schemas.openxmlformats.org/officeDocument/2006/relationships/hyperlink" Target="https://meteor.aihw.gov.au/content/747557" TargetMode="External" Id="Rd963fd33c6614c13" /><Relationship Type="http://schemas.openxmlformats.org/officeDocument/2006/relationships/hyperlink" Target="https://meteor.aihw.gov.au/RegistrationAuthority/6" TargetMode="External" Id="R93b71ce2212c4c78" /><Relationship Type="http://schemas.openxmlformats.org/officeDocument/2006/relationships/hyperlink" Target="https://meteor.aihw.gov.au/content/739386" TargetMode="External" Id="Radee2ec10cde4d28" /><Relationship Type="http://schemas.openxmlformats.org/officeDocument/2006/relationships/hyperlink" Target="https://meteor.aihw.gov.au/RegistrationAuthority/6" TargetMode="External" Id="Rcb709af6d25f4232" /><Relationship Type="http://schemas.openxmlformats.org/officeDocument/2006/relationships/hyperlink" Target="https://meteor.aihw.gov.au/content/762577" TargetMode="External" Id="R5a11dc4c0e2142e5" /><Relationship Type="http://schemas.openxmlformats.org/officeDocument/2006/relationships/hyperlink" Target="https://meteor.aihw.gov.au/RegistrationAuthority/6" TargetMode="External" Id="R75a0a1fa6f30465e" /><Relationship Type="http://schemas.openxmlformats.org/officeDocument/2006/relationships/hyperlink" Target="https://meteor.aihw.gov.au/content/779074" TargetMode="External" Id="R3807bd2b602d4a95" /><Relationship Type="http://schemas.openxmlformats.org/officeDocument/2006/relationships/hyperlink" Target="https://meteor.aihw.gov.au/RegistrationAuthority/6" TargetMode="External" Id="R828b744e3a9244ab" /><Relationship Type="http://schemas.openxmlformats.org/officeDocument/2006/relationships/hyperlink" Target="https://meteor.aihw.gov.au/content/772316" TargetMode="External" Id="R9d6aa1e062d4425f" /><Relationship Type="http://schemas.openxmlformats.org/officeDocument/2006/relationships/hyperlink" Target="https://meteor.aihw.gov.au/RegistrationAuthority/6" TargetMode="External" Id="Rab128a4d145c4637" /><Relationship Type="http://schemas.openxmlformats.org/officeDocument/2006/relationships/hyperlink" Target="https://meteor.aihw.gov.au/content/782691" TargetMode="External" Id="Rd480b1e886db4f08" /><Relationship Type="http://schemas.openxmlformats.org/officeDocument/2006/relationships/hyperlink" Target="https://meteor.aihw.gov.au/RegistrationAuthority/6" TargetMode="External" Id="Rb5a6b86377ab4d98" /></Relationships>
</file>

<file path=word/_rels/header1.xml.rels>&#65279;<?xml version="1.0" encoding="utf-8"?><Relationships xmlns="http://schemas.openxmlformats.org/package/2006/relationships"><Relationship Type="http://schemas.openxmlformats.org/officeDocument/2006/relationships/image" Target="/media/image.png" Id="Rd5365cdbbd174769" /></Relationships>
</file>