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66c573a67d49ab"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 (left retina)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 (left retina)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Ophthalmological assessment—outcome (left retina)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4fbf31df54bf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 for the left retina during the last 12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f57d3e1b4f4228">
              <w:r>
                <w:rPr>
                  <w:rStyle w:val="Hyperlink"/>
                </w:rPr>
                <w:t xml:space="preserve">Person—ophthalmological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75bb90cc349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6acf8da53545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7c3b38c7694ac5">
              <w:r>
                <w:rPr>
                  <w:rStyle w:val="Hyperlink"/>
                </w:rPr>
                <w:t xml:space="preserve">Ophthalmological assessment outcome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48075026ce47c7">
              <w:r>
                <w:rPr>
                  <w:rStyle w:val="Hyperlink"/>
                </w:rPr>
                <w:t xml:space="preserve">Ophthalmological assessment outcome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86a5df6704b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ophthalmological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repeating record of both eyes.</w:t>
            </w:r>
          </w:p>
          <w:p>
            <w:pPr>
              <w:spacing w:after="160"/>
            </w:pPr>
            <w:r>
              <w:rPr>
                <w:rStyle w:val="row-content-rich-text"/>
              </w:rPr>
              <w:t xml:space="preserve">1st field - Right retina</w:t>
            </w:r>
          </w:p>
          <w:p>
            <w:pPr>
              <w:spacing w:after="160"/>
            </w:pPr>
            <w:r>
              <w:rPr>
                <w:rStyle w:val="row-content-rich-text"/>
              </w:rPr>
              <w:t xml:space="preserve">2nd field - Left retina</w:t>
            </w:r>
          </w:p>
          <w:p>
            <w:pPr>
              <w:spacing w:after="160"/>
            </w:pPr>
            <w:r>
              <w:rPr>
                <w:rStyle w:val="row-content-rich-text"/>
              </w:rPr>
              <w:t xml:space="preserve">Record the result of the fundus examination for each eye as: Normal/ Diabetes abnormality/ Non-diabetes abnormality/ or Not visualised.</w:t>
            </w:r>
          </w:p>
          <w:p>
            <w:pPr>
              <w:spacing w:after="160"/>
            </w:pPr>
            <w:r>
              <w:rPr>
                <w:rStyle w:val="row-content-rich-text"/>
              </w:rPr>
              <w:t xml:space="preserve">Example:</w:t>
            </w:r>
          </w:p>
          <w:p>
            <w:pPr>
              <w:pStyle w:val="ListParagraph"/>
              <w:numPr>
                <w:ilvl w:val="0"/>
                <w:numId w:val="2"/>
              </w:numPr>
            </w:pPr>
            <w:r>
              <w:rPr>
                <w:rStyle w:val="row-content-rich-text"/>
              </w:rPr>
              <w:t xml:space="preserve">code 12 for right retina Normal and left retina Diabetes abnormality</w:t>
            </w:r>
          </w:p>
          <w:p>
            <w:pPr>
              <w:pStyle w:val="ListParagraph"/>
              <w:numPr>
                <w:ilvl w:val="0"/>
                <w:numId w:val="2"/>
              </w:numPr>
            </w:pPr>
            <w:r>
              <w:rPr>
                <w:rStyle w:val="row-content-rich-text"/>
              </w:rPr>
              <w:t xml:space="preserve">code 32 for right retina Non-diabetes abnormality and left retina Diabetes abnormality</w:t>
            </w:r>
          </w:p>
          <w:p>
            <w:pPr/>
            <w:r>
              <w:rPr>
                <w:rStyle w:val="row-content-rich-text"/>
              </w:rPr>
              <w:t xml:space="preserve">Only the result of an assessment carried out in the last 12 months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Ophthalmological assessment should be performed by an ophthalmologist or a suitably trained clinician.</w:t>
            </w:r>
          </w:p>
          <w:p>
            <w:pPr>
              <w:spacing w:after="160"/>
            </w:pPr>
            <w:r>
              <w:rPr>
                <w:rStyle w:val="row-content-rich-text"/>
              </w:rPr>
              <w:t xml:space="preserve">A comprehensive ophthalmological examination includes:</w:t>
            </w:r>
          </w:p>
          <w:p>
            <w:pPr>
              <w:pStyle w:val="ListParagraph"/>
              <w:numPr>
                <w:ilvl w:val="0"/>
                <w:numId w:val="3"/>
              </w:numPr>
            </w:pPr>
            <w:r>
              <w:rPr>
                <w:rStyle w:val="row-content-rich-text"/>
              </w:rPr>
              <w:t xml:space="preserve">Checking visual acuity with Snellen chart - correct with pinhole if indicated;</w:t>
            </w:r>
          </w:p>
          <w:p>
            <w:pPr>
              <w:pStyle w:val="ListParagraph"/>
              <w:numPr>
                <w:ilvl w:val="0"/>
                <w:numId w:val="3"/>
              </w:numPr>
            </w:pPr>
            <w:r>
              <w:rPr>
                <w:rStyle w:val="row-content-rich-text"/>
              </w:rPr>
              <w:t xml:space="preserve">Examination for cataract;</w:t>
            </w:r>
          </w:p>
          <w:p>
            <w:pPr>
              <w:pStyle w:val="ListParagraph"/>
              <w:numPr>
                <w:ilvl w:val="0"/>
                <w:numId w:val="3"/>
              </w:numPr>
            </w:pPr>
            <w:r>
              <w:rPr>
                <w:rStyle w:val="row-content-rich-text"/>
              </w:rPr>
              <w:t xml:space="preserve">Examination of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8c3850a7b564c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c3850a7b564c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ffab3c7c9d426c"/>
                            <a:srcRect/>
                            <a:stretch>
                              <a:fillRect/>
                            </a:stretch>
                          </pic:blipFill>
                          <pic:spPr bwMode="auto">
                            <a:xfrm>
                              <a:off x="0" y="0"/>
                              <a:ext cx="152400" cy="152400"/>
                            </a:xfrm>
                            <a:prstGeom prst="rect">
                              <a:avLst/>
                            </a:prstGeom>
                          </pic:spPr>
                        </pic:pic>
                      </a:graphicData>
                    </a:graphic>
                  </wp:inline>
                </w:drawing>
              </w:r>
              <w:r>
                <w:rPr>
                  <w:rStyle w:val="Hyperlink"/>
                </w:rPr>
                <w:t xml:space="preserve"> Ophthalmological assessment - outcome, version 1, DE, NHDD, NHIMG,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51bc6a64dc24c01">
              <w:r>
                <w:rPr>
                  <w:rStyle w:val="Hyperlink"/>
                </w:rPr>
                <w:t xml:space="preserve">Person—ophthalmological assessment outcome (right retina) (last 12 months), code N</w:t>
              </w:r>
            </w:hyperlink>
          </w:p>
          <w:p>
            <w:pPr>
              <w:pStyle w:val="registration-status"/>
              <w:spacing w:before="0" w:after="0"/>
            </w:pPr>
            <w:hyperlink w:history="true" r:id="Raf17aea35b914d5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021b7af9624fbc">
              <w:r>
                <w:rPr>
                  <w:rStyle w:val="Hyperlink"/>
                </w:rPr>
                <w:t xml:space="preserve">Diabetes (clinical) DSS</w:t>
              </w:r>
            </w:hyperlink>
          </w:p>
          <w:p>
            <w:pPr>
              <w:pStyle w:val="registration-status"/>
              <w:spacing w:before="0" w:after="0"/>
            </w:pPr>
            <w:hyperlink w:history="true" r:id="R71601d18c5974f63">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4"/>
              </w:numPr>
            </w:pPr>
            <w:r>
              <w:rPr>
                <w:rStyle w:val="row-content"/>
              </w:rPr>
              <w:t xml:space="preserve">at diagnosis and then every 1-2 years for patients whose diabetes onset was at age 30 years or more, </w:t>
            </w:r>
          </w:p>
          <w:p>
            <w:pPr>
              <w:pStyle w:val="ListParagraph"/>
              <w:numPr>
                <w:ilvl w:val="0"/>
                <w:numId w:val="4"/>
              </w:numPr>
            </w:pPr>
            <w:r>
              <w:rPr>
                <w:rStyle w:val="row-content"/>
              </w:rPr>
              <w:t xml:space="preserve">within five years of diagnosis and then every 1-2 years for patients whose diabetes onset was at age less than 30 years. </w:t>
            </w:r>
          </w:p>
          <w:p>
            <w:r>
              <w:rPr>
                <w:rStyle w:val="row-content"/>
              </w:rPr>
              <w:t xml:space="preserve">Assessment by an ophthalmologist is essential:</w:t>
            </w:r>
          </w:p>
          <w:p>
            <w:pPr>
              <w:pStyle w:val="ListParagraph"/>
              <w:numPr>
                <w:ilvl w:val="0"/>
                <w:numId w:val="5"/>
              </w:numPr>
            </w:pPr>
            <w:r>
              <w:rPr>
                <w:rStyle w:val="row-content"/>
              </w:rPr>
              <w:t xml:space="preserve">at initial examination if the corrected visual acuity is less than 6/6 in either eye; </w:t>
            </w:r>
          </w:p>
          <w:p>
            <w:pPr>
              <w:pStyle w:val="ListParagraph"/>
              <w:numPr>
                <w:ilvl w:val="0"/>
                <w:numId w:val="5"/>
              </w:numPr>
            </w:pPr>
            <w:r>
              <w:rPr>
                <w:rStyle w:val="row-content"/>
              </w:rPr>
              <w:t xml:space="preserve">at subsequent examinations if declining visual acuity is detected </w:t>
            </w:r>
          </w:p>
          <w:p>
            <w:pPr>
              <w:pStyle w:val="ListParagraph"/>
              <w:numPr>
                <w:ilvl w:val="0"/>
                <w:numId w:val="5"/>
              </w:numPr>
            </w:pPr>
            <w:r>
              <w:rPr>
                <w:rStyle w:val="row-content"/>
              </w:rPr>
              <w:t xml:space="preserve">if any retinal abnormality is detected; </w:t>
            </w:r>
          </w:p>
          <w:p>
            <w:pPr>
              <w:pStyle w:val="ListParagraph"/>
              <w:numPr>
                <w:ilvl w:val="0"/>
                <w:numId w:val="5"/>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hyperlink w:history="true" r:id="R81dcc33791874670">
              <w:r>
                <w:rPr>
                  <w:rStyle w:val="Hyperlink"/>
                </w:rPr>
                <w:t xml:space="preserve">Diabetes (clinical) NBPDS</w:t>
              </w:r>
            </w:hyperlink>
          </w:p>
          <w:p>
            <w:pPr>
              <w:pStyle w:val="registration-status"/>
              <w:spacing w:before="0" w:after="0"/>
            </w:pPr>
            <w:hyperlink w:history="true" r:id="R7e386a6d5856453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6"/>
              </w:numPr>
            </w:pPr>
            <w:r>
              <w:rPr>
                <w:rStyle w:val="row-content"/>
              </w:rPr>
              <w:t xml:space="preserve">at diagnosis and then every 1-2 years for patients whose diabetes onset was at age 30 years or more,</w:t>
            </w:r>
          </w:p>
          <w:p>
            <w:pPr>
              <w:pStyle w:val="ListParagraph"/>
              <w:numPr>
                <w:ilvl w:val="0"/>
                <w:numId w:val="6"/>
              </w:numPr>
            </w:pPr>
            <w:r>
              <w:rPr>
                <w:rStyle w:val="row-content"/>
              </w:rPr>
              <w:t xml:space="preserve">within five years of diagnosis and then every 1-2 years for patients whose diabetes onset was at age less than 30 years.</w:t>
            </w:r>
          </w:p>
          <w:p>
            <w:r>
              <w:rPr>
                <w:rStyle w:val="row-content"/>
              </w:rPr>
              <w:t xml:space="preserve">Assessment by an ophthalmologist is essential:</w:t>
            </w:r>
          </w:p>
          <w:p>
            <w:pPr>
              <w:pStyle w:val="ListParagraph"/>
              <w:numPr>
                <w:ilvl w:val="0"/>
                <w:numId w:val="7"/>
              </w:numPr>
            </w:pPr>
            <w:r>
              <w:rPr>
                <w:rStyle w:val="row-content"/>
              </w:rPr>
              <w:t xml:space="preserve">at initial examination if the corrected visual acuity is less than 6/6 in either eye;</w:t>
            </w:r>
          </w:p>
          <w:p>
            <w:pPr>
              <w:pStyle w:val="ListParagraph"/>
              <w:numPr>
                <w:ilvl w:val="0"/>
                <w:numId w:val="7"/>
              </w:numPr>
            </w:pPr>
            <w:r>
              <w:rPr>
                <w:rStyle w:val="row-content"/>
              </w:rPr>
              <w:t xml:space="preserve">at subsequent examinations if declining visual acuity is detected</w:t>
            </w:r>
          </w:p>
          <w:p>
            <w:pPr>
              <w:pStyle w:val="ListParagraph"/>
              <w:numPr>
                <w:ilvl w:val="0"/>
                <w:numId w:val="7"/>
              </w:numPr>
            </w:pPr>
            <w:r>
              <w:rPr>
                <w:rStyle w:val="row-content"/>
              </w:rPr>
              <w:t xml:space="preserve">if any retinal abnormality is detected;</w:t>
            </w:r>
          </w:p>
          <w:p>
            <w:pPr>
              <w:pStyle w:val="ListParagraph"/>
              <w:numPr>
                <w:ilvl w:val="0"/>
                <w:numId w:val="7"/>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p>
        </w:tc>
      </w:tr>
    </w:tbl>
    <w:p/>
    <w:tbl>
      <w:tblPr>
        <w:tblStyle w:val="TableGrid"/>
        <w:tblW w:w="0" w:type="auto"/>
      </w:tblPr>
    </w:tbl>
    <w:p>
      <w:r>
        <w:br/>
      </w:r>
    </w:p>
    <w:sectPr>
      <w:footerReference xmlns:r="http://schemas.openxmlformats.org/officeDocument/2006/relationships" w:type="default" r:id="R338105d16bf5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5c85b3dab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105d16bf541fa" /><Relationship Type="http://schemas.openxmlformats.org/officeDocument/2006/relationships/header" Target="/word/header1.xml" Id="Rcdff0598c36e4637" /><Relationship Type="http://schemas.openxmlformats.org/officeDocument/2006/relationships/settings" Target="/word/settings.xml" Id="R5133f73fa6bd457e" /><Relationship Type="http://schemas.openxmlformats.org/officeDocument/2006/relationships/styles" Target="/word/styles.xml" Id="R184c428a1274471b" /><Relationship Type="http://schemas.openxmlformats.org/officeDocument/2006/relationships/numbering" Target="/word/numbering.xml" Id="R2bef1a84461d4425" /><Relationship Type="http://schemas.openxmlformats.org/officeDocument/2006/relationships/image" Target="/media/image.gif" Id="R41ffab3c7c9d426c" /><Relationship Type="http://schemas.openxmlformats.org/officeDocument/2006/relationships/hyperlink" Target="https://meteor.aihw.gov.au/RegistrationAuthority/12" TargetMode="External" Id="Rd304fbf31df54bf0" /><Relationship Type="http://schemas.openxmlformats.org/officeDocument/2006/relationships/hyperlink" Target="https://meteor.aihw.gov.au/content/269794" TargetMode="External" Id="Rc9f57d3e1b4f4228" /><Relationship Type="http://schemas.openxmlformats.org/officeDocument/2006/relationships/hyperlink" Target="https://meteor.aihw.gov.au/RegistrationAuthority/12" TargetMode="External" Id="R0a975bb90cc34932" /><Relationship Type="http://schemas.openxmlformats.org/officeDocument/2006/relationships/hyperlink" Target="https://meteor.aihw.gov.au/content/268955" TargetMode="External" Id="Rfb6acf8da535452c" /><Relationship Type="http://schemas.openxmlformats.org/officeDocument/2006/relationships/hyperlink" Target="https://meteor.aihw.gov.au/content/269301" TargetMode="External" Id="R087c3b38c7694ac5" /><Relationship Type="http://schemas.openxmlformats.org/officeDocument/2006/relationships/hyperlink" Target="https://meteor.aihw.gov.au/content/270869" TargetMode="External" Id="Rf048075026ce47c7" /><Relationship Type="http://schemas.openxmlformats.org/officeDocument/2006/relationships/hyperlink" Target="https://meteor.aihw.gov.au/RegistrationAuthority/12" TargetMode="External" Id="Rdda86a5df6704bfd" /><Relationship Type="http://schemas.openxmlformats.org/officeDocument/2006/relationships/hyperlink" Target="https://meteor.aihw.gov.au/content/273881" TargetMode="External" Id="R98c3850a7b564cf9" /><Relationship Type="http://schemas.openxmlformats.org/officeDocument/2006/relationships/hyperlink" Target="https://meteor.aihw.gov.au/content/270363" TargetMode="External" Id="Rc51bc6a64dc24c01" /><Relationship Type="http://schemas.openxmlformats.org/officeDocument/2006/relationships/hyperlink" Target="https://meteor.aihw.gov.au/RegistrationAuthority/12" TargetMode="External" Id="Raf17aea35b914d53" /><Relationship Type="http://schemas.openxmlformats.org/officeDocument/2006/relationships/hyperlink" Target="https://meteor.aihw.gov.au/content/273054" TargetMode="External" Id="Rff021b7af9624fbc" /><Relationship Type="http://schemas.openxmlformats.org/officeDocument/2006/relationships/hyperlink" Target="https://meteor.aihw.gov.au/RegistrationAuthority/12" TargetMode="External" Id="R71601d18c5974f63" /><Relationship Type="http://schemas.openxmlformats.org/officeDocument/2006/relationships/hyperlink" Target="https://meteor.aihw.gov.au/content/304865" TargetMode="External" Id="R81dcc33791874670" /><Relationship Type="http://schemas.openxmlformats.org/officeDocument/2006/relationships/hyperlink" Target="https://meteor.aihw.gov.au/RegistrationAuthority/12" TargetMode="External" Id="R7e386a6d58564536" /></Relationships>
</file>

<file path=word/_rels/header1.xml.rels>&#65279;<?xml version="1.0" encoding="utf-8"?><Relationships xmlns="http://schemas.openxmlformats.org/package/2006/relationships"><Relationship Type="http://schemas.openxmlformats.org/officeDocument/2006/relationships/image" Target="/media/image.png" Id="R5f95c85b3dab46dd" /></Relationships>
</file>