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5b650e7a9a4069"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(extra surveillance),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(extra surveillance),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living—extra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18fd632a044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additional individual attention and/or planned intervention in carrying out activities of daily living,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68d5af04ad47e7">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b5bd6568584d9a">
              <w:r>
                <w:rPr>
                  <w:rStyle w:val="Hyperlink"/>
                </w:rPr>
                <w:t xml:space="preserve">Extra surveillance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additional attention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30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30 and more than or equal to 90 minutes individual attention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Requires at least two hours intervention per week on an episodic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90 minutes but less than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Requires almost constant individual attention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Cannot be left alone at all</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Extra surveillance refers to behaviour, which requires individual attention and/or planned intervention. Some examples are:</w:t>
            </w:r>
          </w:p>
          <w:p>
            <w:pPr>
              <w:pStyle w:val="ListParagraph"/>
              <w:numPr>
                <w:ilvl w:val="0"/>
                <w:numId w:val="2"/>
              </w:numPr>
            </w:pPr>
            <w:r>
              <w:rPr>
                <w:rStyle w:val="row-content-rich-text"/>
              </w:rPr>
              <w:t xml:space="preserve">aggressiveness </w:t>
            </w:r>
          </w:p>
          <w:p>
            <w:pPr>
              <w:pStyle w:val="ListParagraph"/>
              <w:numPr>
                <w:ilvl w:val="0"/>
                <w:numId w:val="2"/>
              </w:numPr>
            </w:pPr>
            <w:r>
              <w:rPr>
                <w:rStyle w:val="row-content-rich-text"/>
              </w:rPr>
              <w:t xml:space="preserve">wandering </w:t>
            </w:r>
          </w:p>
          <w:p>
            <w:pPr>
              <w:pStyle w:val="ListParagraph"/>
              <w:numPr>
                <w:ilvl w:val="0"/>
                <w:numId w:val="2"/>
              </w:numPr>
            </w:pPr>
            <w:r>
              <w:rPr>
                <w:rStyle w:val="row-content-rich-text"/>
              </w:rPr>
              <w:t xml:space="preserve">impaired memory or attention </w:t>
            </w:r>
          </w:p>
          <w:p>
            <w:pPr>
              <w:pStyle w:val="ListParagraph"/>
              <w:numPr>
                <w:ilvl w:val="0"/>
                <w:numId w:val="2"/>
              </w:numPr>
            </w:pPr>
            <w:r>
              <w:rPr>
                <w:rStyle w:val="row-content-rich-text"/>
              </w:rPr>
              <w:t xml:space="preserve">disinhibition and other cognitive impairment.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e8dbb5370ea497c">
              <w:r>
                <w:drawing>
                  <wp:inline xmlns:wp="http://schemas.openxmlformats.org/drawingml/2006/wordprocessingDrawing" distT="0" distB="0" distL="0" distR="0">
                    <wp:extent cx="152400" cy="152400"/>
                    <wp:effectExtent l="19050" t="0" r="0" b="0"/>
                    <wp:docPr id="2" name="Picture 2" descr="">
                      <a:hlinkClick xmlns:a="http://schemas.openxmlformats.org/drawingml/2006/main" r:id="R8e8dbb5370ea497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00e028e56a41a7"/>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bdbb52f297e44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270419</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dc4a9bdd76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bb52f297e44b9" /><Relationship Type="http://schemas.openxmlformats.org/officeDocument/2006/relationships/header" Target="/word/header1.xml" Id="Racfccd875bf64288" /><Relationship Type="http://schemas.openxmlformats.org/officeDocument/2006/relationships/settings" Target="/word/settings.xml" Id="R0017144b2fdb40a1" /><Relationship Type="http://schemas.openxmlformats.org/officeDocument/2006/relationships/styles" Target="/word/styles.xml" Id="Rf7458f37b39a444b" /><Relationship Type="http://schemas.openxmlformats.org/officeDocument/2006/relationships/hyperlink" Target="https://meteor.aihw.gov.au/RegistrationAuthority/12" TargetMode="External" Id="Rf8e18fd632a04438" /><Relationship Type="http://schemas.openxmlformats.org/officeDocument/2006/relationships/hyperlink" Target="https://meteor.aihw.gov.au/content/269825" TargetMode="External" Id="Rc368d5af04ad47e7" /><Relationship Type="http://schemas.openxmlformats.org/officeDocument/2006/relationships/hyperlink" Target="https://meteor.aihw.gov.au/content/270917" TargetMode="External" Id="Racb5bd6568584d9a" /><Relationship Type="http://schemas.openxmlformats.org/officeDocument/2006/relationships/numbering" Target="/word/numbering.xml" Id="R4a75928bf9f14fbe" /><Relationship Type="http://schemas.openxmlformats.org/officeDocument/2006/relationships/hyperlink" Target="https://meteor.aihw.gov.au/content/273290" TargetMode="External" Id="R8e8dbb5370ea497c" /><Relationship Type="http://schemas.openxmlformats.org/officeDocument/2006/relationships/image" Target="/media/image.gif" Id="R3200e028e56a41a7" /></Relationships>
</file>

<file path=word/_rels/header1.xml.rels>&#65279;<?xml version="1.0" encoding="utf-8"?><Relationships xmlns="http://schemas.openxmlformats.org/package/2006/relationships"><Relationship Type="http://schemas.openxmlformats.org/officeDocument/2006/relationships/image" Target="/media/image.png" Id="Rd7dc4a9bdd764d25" /></Relationships>
</file>