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08f14cc89470e" /></Relationships>
</file>

<file path=word/document.xml><?xml version="1.0" encoding="utf-8"?>
<w:document xmlns:r="http://schemas.openxmlformats.org/officeDocument/2006/relationships" xmlns:w="http://schemas.openxmlformats.org/wordprocessingml/2006/main">
  <w:body>
    <w:p>
      <w:pPr>
        <w:pStyle w:val="Title"/>
      </w:pPr>
      <w:r>
        <w:t>Person—living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9f6469dba45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df6770dc05425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945b36a62443f">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45398763cc4fcb">
              <w:r>
                <w:rPr>
                  <w:rStyle w:val="Hyperlink"/>
                </w:rPr>
                <w:t xml:space="preserve">Living arrangement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Lives with </w:t>
            </w:r>
            <w:hyperlink w:tooltip="Two or more people related by blood, marriage (registered or de facto), adoption, step or fostering who may or may not live together." w:history="true" r:id="Rba5674c421164e26">
              <w:r>
                <w:rPr>
                  <w:rStyle w:val="Hyperlink"/>
                  <w:b/>
                </w:rPr>
                <w:t xml:space="preserve">family</w:t>
              </w:r>
            </w:hyperlink>
            <w:r>
              <w:rPr>
                <w:rStyle w:val="row-content-rich-text"/>
              </w:rPr>
              <w:t xml:space="preserve">:</w:t>
            </w:r>
          </w:p>
          <w:p>
            <w:pPr>
              <w:spacing w:after="160"/>
            </w:pPr>
            <w:r>
              <w:rPr>
                <w:rStyle w:val="row-content-rich-text"/>
              </w:rPr>
              <w:t xml:space="preserve">If the person's household includes both family and non-family members, the person should be recorded as living with family. 'Living with family' should be considered to include de facto and same sex relationships.</w:t>
            </w:r>
          </w:p>
          <w:p>
            <w:pPr>
              <w:spacing w:after="160"/>
            </w:pPr>
            <w:r>
              <w:rPr>
                <w:rStyle w:val="row-content-rich-text"/>
              </w:rPr>
              <w:t xml:space="preserve">On occasion, difficulties can arise in deciding the living arrangement of a person due to their type of accommodation (e.g. boarding houses, hostels, group homes, retirement villages, residential aged care facilities).</w:t>
            </w:r>
          </w:p>
          <w:p>
            <w:pPr/>
            <w:r>
              <w:rPr>
                <w:rStyle w:val="row-content-rich-text"/>
              </w:rPr>
              <w:t xml:space="preserve">In these circumstances the person should be regarded as living alone, except in those instances in which they are sharing their own private space/room within the premises with a significant other (e.g. partner, sibling, close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record the type of living arrangement for a person in order to develop a sense of the level of support, both physically and emotionally, to which a person may have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and State/Territory Home and Community Care Officials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Commonwealth Department of Health and Family Services 1998. Home and Community Care Data Dictionary. Version 1.0. Canberra: DHFS.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2070ae5f33d40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2070ae5f33d40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0b4e37b8a04cc5"/>
                            <a:srcRect/>
                            <a:stretch>
                              <a:fillRect/>
                            </a:stretch>
                          </pic:blipFill>
                          <pic:spPr bwMode="auto">
                            <a:xfrm>
                              <a:off x="0" y="0"/>
                              <a:ext cx="152400" cy="152400"/>
                            </a:xfrm>
                            <a:prstGeom prst="rect">
                              <a:avLst/>
                            </a:prstGeom>
                          </pic:spPr>
                        </pic:pic>
                      </a:graphicData>
                    </a:graphic>
                  </wp:inline>
                </w:drawing>
              </w:r>
              <w:r>
                <w:rPr>
                  <w:rStyle w:val="Hyperlink"/>
                </w:rPr>
                <w:t xml:space="preserve"> Living arrangement, version 3, DE,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aff1a8328040a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b7c4b886f6264de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In most instances, homeless people should be coded as living alone.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66df4b3bfedf41e3">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629ea3a15d74c3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In most instances, homeless people should be coded as living alone.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5e2082888b2b4406">
              <w:r>
                <w:rPr>
                  <w:rStyle w:val="Hyperlink"/>
                </w:rPr>
                <w:t xml:space="preserve">Disability services carer details cluster</w:t>
              </w:r>
            </w:hyperlink>
          </w:p>
          <w:p>
            <w:pPr>
              <w:spacing w:before="0" w:after="0"/>
            </w:pPr>
            <w:r>
              <w:rPr>
                <w:rStyle w:val="row-content"/>
                <w:color w:val="244061"/>
              </w:rPr>
              <w:t xml:space="preserve">       </w:t>
            </w:r>
            <w:hyperlink w:history="true" r:id="R558ce9ab67be40c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d4fc3cbe28c4368">
              <w:r>
                <w:rPr>
                  <w:rStyle w:val="Hyperlink"/>
                  <w:color w:val="244061"/>
                </w:rPr>
                <w:t xml:space="preserve">Disability</w:t>
              </w:r>
            </w:hyperlink>
            <w:r>
              <w:rPr>
                <w:rStyle w:val="row-content"/>
                <w:color w:val="244061"/>
              </w:rPr>
              <w:t xml:space="preserve">, Standard 13/08/2015</w:t>
            </w:r>
          </w:p>
          <w:p>
            <w:r>
              <w:br/>
            </w:r>
            <w:hyperlink w:history="true" r:id="R196c94c1e24c4c13">
              <w:r>
                <w:rPr>
                  <w:rStyle w:val="Hyperlink"/>
                </w:rPr>
                <w:t xml:space="preserve">Disability services client details cluster</w:t>
              </w:r>
            </w:hyperlink>
          </w:p>
          <w:p>
            <w:pPr>
              <w:spacing w:before="0" w:after="0"/>
            </w:pPr>
            <w:r>
              <w:rPr>
                <w:rStyle w:val="row-content"/>
                <w:color w:val="244061"/>
              </w:rPr>
              <w:t xml:space="preserve">       </w:t>
            </w:r>
            <w:hyperlink w:history="true" r:id="R48755f79f5e24aa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173552c9c404d7c">
              <w:r>
                <w:rPr>
                  <w:rStyle w:val="Hyperlink"/>
                  <w:color w:val="244061"/>
                </w:rPr>
                <w:t xml:space="preserve">Disability</w:t>
              </w:r>
            </w:hyperlink>
            <w:r>
              <w:rPr>
                <w:rStyle w:val="row-content"/>
                <w:color w:val="244061"/>
              </w:rPr>
              <w:t xml:space="preserve">, Standard 13/08/2015</w:t>
            </w:r>
          </w:p>
          <w:p>
            <w:r>
              <w:br/>
            </w:r>
            <w:hyperlink w:history="true" r:id="Rbe10625dc9d6495e">
              <w:r>
                <w:rPr>
                  <w:rStyle w:val="Hyperlink"/>
                </w:rPr>
                <w:t xml:space="preserve">Disability Services NMDS 2009-10</w:t>
              </w:r>
            </w:hyperlink>
          </w:p>
          <w:p>
            <w:pPr>
              <w:spacing w:before="0" w:after="0"/>
            </w:pPr>
            <w:r>
              <w:rPr>
                <w:rStyle w:val="row-content"/>
                <w:color w:val="244061"/>
              </w:rPr>
              <w:t xml:space="preserve">       </w:t>
            </w:r>
            <w:hyperlink w:history="true" r:id="Rb2fa5357cc644f3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 </w:t>
            </w:r>
          </w:p>
          <w:p>
            <w:r>
              <w:rPr>
                <w:rStyle w:val="row-content"/>
              </w:rP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In most instances, homeless people should be coded as living alone.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a2f329e2ba2f4457">
              <w:r>
                <w:rPr>
                  <w:rStyle w:val="Hyperlink"/>
                </w:rPr>
                <w:t xml:space="preserve">Disability Services NMDS 2010-11</w:t>
              </w:r>
            </w:hyperlink>
          </w:p>
          <w:p>
            <w:pPr>
              <w:spacing w:before="0" w:after="0"/>
            </w:pPr>
            <w:r>
              <w:rPr>
                <w:rStyle w:val="row-content"/>
                <w:color w:val="244061"/>
              </w:rPr>
              <w:t xml:space="preserve">       </w:t>
            </w:r>
            <w:hyperlink w:history="true" r:id="R3e754080fd2c418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In most instances, homeless people should be coded as living alone.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09a7fbcafe3f4b8d">
              <w:r>
                <w:rPr>
                  <w:rStyle w:val="Hyperlink"/>
                </w:rPr>
                <w:t xml:space="preserve">Disability Services NMDS 2011-12</w:t>
              </w:r>
            </w:hyperlink>
          </w:p>
          <w:p>
            <w:pPr>
              <w:spacing w:before="0" w:after="0"/>
            </w:pPr>
            <w:r>
              <w:rPr>
                <w:rStyle w:val="row-content"/>
                <w:color w:val="244061"/>
              </w:rPr>
              <w:t xml:space="preserve">       </w:t>
            </w:r>
            <w:hyperlink w:history="true" r:id="R23e582f4ddfb4e3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In most instances, homeless people should be coded as living alone.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6a855f0fde4141a5">
              <w:r>
                <w:rPr>
                  <w:rStyle w:val="Hyperlink"/>
                </w:rPr>
                <w:t xml:space="preserve">Disability Services NMDS 2012-14</w:t>
              </w:r>
            </w:hyperlink>
          </w:p>
          <w:p>
            <w:pPr>
              <w:spacing w:before="0" w:after="0"/>
            </w:pPr>
            <w:r>
              <w:rPr>
                <w:rStyle w:val="row-content"/>
                <w:color w:val="244061"/>
              </w:rPr>
              <w:t xml:space="preserve">       </w:t>
            </w:r>
            <w:hyperlink w:history="true" r:id="R2c553c134a82435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service user's living arrangements must relate to the same place described in the </w:t>
            </w:r>
            <w:hyperlink w:history="true" r:id="R0b46d4a69c034d89">
              <w:r>
                <w:rPr>
                  <w:rStyle w:val="Hyperlink"/>
                </w:rPr>
                <w:t xml:space="preserve">'service user postcode'</w:t>
              </w:r>
            </w:hyperlink>
            <w:r>
              <w:rPr>
                <w:rStyle w:val="row-content"/>
              </w:rPr>
              <w:t xml:space="preserve"> and </w:t>
            </w:r>
            <w:hyperlink w:history="true" r:id="Re294408aa8a74484">
              <w:r>
                <w:rPr>
                  <w:rStyle w:val="Hyperlink"/>
                </w:rPr>
                <w:t xml:space="preserve">'residential setting'</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8a024d9035434e66">
              <w:r>
                <w:rPr>
                  <w:rStyle w:val="Hyperlink"/>
                </w:rPr>
                <w:t xml:space="preserve">Disability Services NMDS 2014-15</w:t>
              </w:r>
            </w:hyperlink>
          </w:p>
          <w:p>
            <w:pPr>
              <w:spacing w:before="0" w:after="0"/>
            </w:pPr>
            <w:r>
              <w:rPr>
                <w:rStyle w:val="row-content"/>
                <w:color w:val="244061"/>
              </w:rPr>
              <w:t xml:space="preserve">       </w:t>
            </w:r>
            <w:hyperlink w:history="true" r:id="R08b74cadf199416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service user's living arrangements must relate to the same place described in the </w:t>
            </w:r>
            <w:hyperlink w:history="true" r:id="R77e8b5c1f01b416b">
              <w:r>
                <w:rPr>
                  <w:rStyle w:val="Hyperlink"/>
                </w:rPr>
                <w:t xml:space="preserve">'service user postcode'</w:t>
              </w:r>
            </w:hyperlink>
            <w:r>
              <w:rPr>
                <w:rStyle w:val="row-content"/>
              </w:rPr>
              <w:t xml:space="preserve"> and </w:t>
            </w:r>
            <w:hyperlink w:history="true" r:id="R2eeb32ce5ccd419c">
              <w:r>
                <w:rPr>
                  <w:rStyle w:val="Hyperlink"/>
                </w:rPr>
                <w:t xml:space="preserve">'residential setting'</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0e03b2ed8897436a">
              <w:r>
                <w:rPr>
                  <w:rStyle w:val="Hyperlink"/>
                </w:rPr>
                <w:t xml:space="preserve">Disability Services NMDS 2015–16</w:t>
              </w:r>
            </w:hyperlink>
          </w:p>
          <w:p>
            <w:pPr>
              <w:spacing w:before="0" w:after="0"/>
            </w:pPr>
            <w:r>
              <w:rPr>
                <w:rStyle w:val="row-content"/>
                <w:color w:val="244061"/>
              </w:rPr>
              <w:t xml:space="preserve">       </w:t>
            </w:r>
            <w:hyperlink w:history="true" r:id="Rd9553e20859d429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w:t>
            </w:r>
            <w:hyperlink w:tooltip="A National Disability Agreement (NDA) service user is a person with a disability who received one or more NDA-funded services during the reporting period (e.g. the financial year)." w:history="true" r:id="R386c5ef19ac64e8e">
              <w:r>
                <w:rPr>
                  <w:rStyle w:val="Hyperlink"/>
                  <w:b/>
                </w:rPr>
                <w:t xml:space="preserve">service user's</w:t>
              </w:r>
            </w:hyperlink>
            <w:r>
              <w:rPr>
                <w:rStyle w:val="row-content"/>
              </w:rPr>
              <w:t xml:space="preserve"> living arrangements must relate to the same place described in the </w:t>
            </w:r>
            <w:hyperlink w:history="true" r:id="R9ac2014d4b264448">
              <w:r>
                <w:rPr>
                  <w:rStyle w:val="Hyperlink"/>
                </w:rPr>
                <w:t xml:space="preserve">service user postcode ('Address—Australian postcode, code (Postcode datafile) {NNNN}')</w:t>
              </w:r>
            </w:hyperlink>
            <w:r>
              <w:rPr>
                <w:rStyle w:val="row-content"/>
              </w:rPr>
              <w:t xml:space="preserve"> and '</w:t>
            </w:r>
            <w:hyperlink w:history="true" r:id="R3ab21bcdd37c4fe4">
              <w:r>
                <w:rPr>
                  <w:rStyle w:val="Hyperlink"/>
                </w:rPr>
                <w:t xml:space="preserve">Person—residential setting, NDA code N[N]</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b480ae894d544726">
              <w:r>
                <w:rPr>
                  <w:rStyle w:val="Hyperlink"/>
                </w:rPr>
                <w:t xml:space="preserve">Disability Services NMDS 2016–17</w:t>
              </w:r>
            </w:hyperlink>
          </w:p>
          <w:p>
            <w:pPr>
              <w:spacing w:before="0" w:after="0"/>
            </w:pPr>
            <w:r>
              <w:rPr>
                <w:rStyle w:val="row-content"/>
                <w:color w:val="244061"/>
              </w:rPr>
              <w:t xml:space="preserve">       </w:t>
            </w:r>
            <w:hyperlink w:history="true" r:id="Rccdcb6ab7c654db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w:t>
            </w:r>
            <w:hyperlink w:tooltip="A National Disability Agreement (NDA) service user is a person with a disability who received one or more NDA-funded services during the reporting period (e.g. the financial year)." w:history="true" r:id="R2699f04ac0b749b5">
              <w:r>
                <w:rPr>
                  <w:rStyle w:val="Hyperlink"/>
                  <w:b/>
                </w:rPr>
                <w:t xml:space="preserve">service user's</w:t>
              </w:r>
            </w:hyperlink>
            <w:r>
              <w:rPr>
                <w:rStyle w:val="row-content"/>
              </w:rPr>
              <w:t xml:space="preserve"> living arrangements must relate to the same place described in the service user postcode ('</w:t>
            </w:r>
            <w:hyperlink w:history="true" r:id="Rd980fa8cd9ec4e0f">
              <w:r>
                <w:rPr>
                  <w:rStyle w:val="Hyperlink"/>
                </w:rPr>
                <w:t xml:space="preserve">Address—Australian postcode, code (Postcode datafile) {NNNN}</w:t>
              </w:r>
            </w:hyperlink>
            <w:r>
              <w:rPr>
                <w:rStyle w:val="row-content"/>
              </w:rPr>
              <w:t xml:space="preserve">') and '</w:t>
            </w:r>
            <w:hyperlink w:history="true" r:id="Rbbd867ea98b946f8">
              <w:r>
                <w:rPr>
                  <w:rStyle w:val="Hyperlink"/>
                </w:rPr>
                <w:t xml:space="preserve">Person—residential setting, accommodation type (NDA) code N[N]</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3 'Lives with others' includes sharing with friends or a carer (where the carer is not a family member).</w:t>
            </w:r>
          </w:p>
          <w:p>
            <w:r>
              <w:br/>
            </w:r>
            <w:r>
              <w:br/>
            </w:r>
            <w:hyperlink w:history="true" r:id="Rdca5e3779082471a">
              <w:r>
                <w:rPr>
                  <w:rStyle w:val="Hyperlink"/>
                </w:rPr>
                <w:t xml:space="preserve">Disability Services NMDS 2017–18</w:t>
              </w:r>
            </w:hyperlink>
          </w:p>
          <w:p>
            <w:pPr>
              <w:spacing w:before="0" w:after="0"/>
            </w:pPr>
            <w:r>
              <w:rPr>
                <w:rStyle w:val="row-content"/>
                <w:color w:val="244061"/>
              </w:rPr>
              <w:t xml:space="preserve">       </w:t>
            </w:r>
            <w:hyperlink w:history="true" r:id="Rcca64a02679c40d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w:t>
            </w:r>
            <w:hyperlink w:tooltip="A National Disability Agreement (NDA) service user is a person with a disability who received one or more NDA-funded services during the reporting period (e.g. the financial year)." w:history="true" r:id="R482c8ceba7484ecf">
              <w:r>
                <w:rPr>
                  <w:rStyle w:val="Hyperlink"/>
                  <w:b/>
                </w:rPr>
                <w:t xml:space="preserve">service user's</w:t>
              </w:r>
            </w:hyperlink>
            <w:r>
              <w:rPr>
                <w:rStyle w:val="row-content"/>
              </w:rPr>
              <w:t xml:space="preserve"> living arrangements must relate to the same place described in the service user postcode ('</w:t>
            </w:r>
            <w:hyperlink w:history="true" r:id="R5492762d1f3a4736">
              <w:r>
                <w:rPr>
                  <w:rStyle w:val="Hyperlink"/>
                </w:rPr>
                <w:t xml:space="preserve">Address—Australian postcode, code (Postcode datafile) NNNN</w:t>
              </w:r>
            </w:hyperlink>
            <w:r>
              <w:rPr>
                <w:rStyle w:val="row-content"/>
              </w:rPr>
              <w:t xml:space="preserve">') and '</w:t>
            </w:r>
            <w:hyperlink w:history="true" r:id="Rfdffac62a7694f41">
              <w:r>
                <w:rPr>
                  <w:rStyle w:val="Hyperlink"/>
                </w:rPr>
                <w:t xml:space="preserve">Person—residential setting, accommodation type (NDA) code N[N]</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rPr>
                <w:rStyle w:val="row-content"/>
              </w:rPr>
              <w:t xml:space="preserve">Code 3 'Lives with others' includes sharing with friends or a carer (where the carer is not a family member).</w:t>
            </w:r>
          </w:p>
          <w:p>
            <w:r>
              <w:br/>
            </w:r>
            <w:r>
              <w:br/>
            </w:r>
            <w:hyperlink w:history="true" r:id="R4e7caefdc9f74d65">
              <w:r>
                <w:rPr>
                  <w:rStyle w:val="Hyperlink"/>
                </w:rPr>
                <w:t xml:space="preserve">Disability Services NMDS 2018–19</w:t>
              </w:r>
            </w:hyperlink>
          </w:p>
          <w:p>
            <w:pPr>
              <w:spacing w:before="0" w:after="0"/>
            </w:pPr>
            <w:r>
              <w:rPr>
                <w:rStyle w:val="row-content"/>
                <w:color w:val="244061"/>
              </w:rPr>
              <w:t xml:space="preserve">       </w:t>
            </w:r>
            <w:hyperlink w:history="true" r:id="R993f6369cc6046e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rPr>
                <w:rStyle w:val="row-content"/>
              </w:rPr>
              <w:t xml:space="preserve">The </w:t>
            </w:r>
            <w:hyperlink w:tooltip="A National Disability Agreement (NDA) service user is a person with a disability who received one or more NDA-funded services during the reporting period (e.g. the financial year)." w:history="true" r:id="R983f8447330b4a43">
              <w:r>
                <w:rPr>
                  <w:rStyle w:val="Hyperlink"/>
                  <w:b/>
                </w:rPr>
                <w:t xml:space="preserve">service user's</w:t>
              </w:r>
            </w:hyperlink>
            <w:r>
              <w:rPr>
                <w:rStyle w:val="row-content"/>
              </w:rPr>
              <w:t xml:space="preserve"> living arrangements must relate to the same place described in the service user postcode ('</w:t>
            </w:r>
            <w:hyperlink w:history="true" r:id="Rfa4092f2c96c4b33">
              <w:r>
                <w:rPr>
                  <w:rStyle w:val="Hyperlink"/>
                </w:rPr>
                <w:t xml:space="preserve">Address—Australian postcode, code (Postcode datafile) NNNN</w:t>
              </w:r>
            </w:hyperlink>
            <w:r>
              <w:rPr>
                <w:rStyle w:val="row-content"/>
              </w:rPr>
              <w:t xml:space="preserve">') and '</w:t>
            </w:r>
            <w:hyperlink w:history="true" r:id="R26ec46f327864dc0">
              <w:r>
                <w:rPr>
                  <w:rStyle w:val="Hyperlink"/>
                </w:rPr>
                <w:t xml:space="preserve">Person—residential setting, accommodation type (NDA) code N[N]</w:t>
              </w:r>
            </w:hyperlink>
            <w:r>
              <w:rPr>
                <w:rStyle w:val="row-content"/>
              </w:rPr>
              <w:t xml:space="preserve">'.</w:t>
            </w:r>
          </w:p>
          <w:p>
            <w:r>
              <w:rPr>
                <w:rStyle w:val="row-content"/>
              </w:rPr>
              <w:t xml:space="preserve">People living in residential settings such as group homes and hostels may consider that they live alone or live with others. The expressed views of the service user should be used to determine whether they live alone or with others.</w:t>
            </w:r>
          </w:p>
          <w:p>
            <w:r>
              <w:rPr>
                <w:rStyle w:val="row-content"/>
              </w:rP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rPr>
                <w:rStyle w:val="row-content"/>
              </w:rPr>
              <w:t xml:space="preserve">Code 3 'Lives with others' includes sharing with friends or a carer (where the carer is not a family member).</w:t>
            </w:r>
          </w:p>
          <w:p>
            <w:r>
              <w:br/>
            </w:r>
            <w:r>
              <w:br/>
            </w:r>
            <w:hyperlink w:history="true" r:id="R12ea133536534a55">
              <w:r>
                <w:rPr>
                  <w:rStyle w:val="Hyperlink"/>
                </w:rPr>
                <w:t xml:space="preserve">Home and Community Care MDS 2009</w:t>
              </w:r>
            </w:hyperlink>
          </w:p>
          <w:p>
            <w:pPr>
              <w:spacing w:before="0" w:after="0"/>
            </w:pPr>
            <w:r>
              <w:rPr>
                <w:rStyle w:val="row-content"/>
                <w:color w:val="244061"/>
              </w:rPr>
              <w:t xml:space="preserve">       </w:t>
            </w:r>
            <w:hyperlink w:history="true" r:id="Reb2fb490cb5d4ef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e771b13a0e4c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6c26bdfed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1b13a0e4c4128" /><Relationship Type="http://schemas.openxmlformats.org/officeDocument/2006/relationships/header" Target="/word/header1.xml" Id="R823f9dd5d9b84ce0" /><Relationship Type="http://schemas.openxmlformats.org/officeDocument/2006/relationships/settings" Target="/word/settings.xml" Id="R7f626859775d406d" /><Relationship Type="http://schemas.openxmlformats.org/officeDocument/2006/relationships/styles" Target="/word/styles.xml" Id="Rea24dd8d33df4be2" /><Relationship Type="http://schemas.openxmlformats.org/officeDocument/2006/relationships/hyperlink" Target="https://meteor.aihw.gov.au/RegistrationAuthority/1" TargetMode="External" Id="R8da9f6469dba456e" /><Relationship Type="http://schemas.openxmlformats.org/officeDocument/2006/relationships/hyperlink" Target="https://meteor.aihw.gov.au/RegistrationAuthority/16" TargetMode="External" Id="Ra6df6770dc054258" /><Relationship Type="http://schemas.openxmlformats.org/officeDocument/2006/relationships/hyperlink" Target="https://meteor.aihw.gov.au/content/269813" TargetMode="External" Id="R6f5945b36a62443f" /><Relationship Type="http://schemas.openxmlformats.org/officeDocument/2006/relationships/hyperlink" Target="https://meteor.aihw.gov.au/content/270889" TargetMode="External" Id="Rd345398763cc4fcb" /><Relationship Type="http://schemas.openxmlformats.org/officeDocument/2006/relationships/hyperlink" Target="https://meteor.aihw.gov.au/content/351499" TargetMode="External" Id="Rba5674c421164e26" /><Relationship Type="http://schemas.openxmlformats.org/officeDocument/2006/relationships/hyperlink" Target="https://meteor.aihw.gov.au/content/273950" TargetMode="External" Id="R42070ae5f33d402c" /><Relationship Type="http://schemas.openxmlformats.org/officeDocument/2006/relationships/image" Target="/media/image.gif" Id="Ree0b4e37b8a04cc5" /><Relationship Type="http://schemas.openxmlformats.org/officeDocument/2006/relationships/hyperlink" Target="https://meteor.aihw.gov.au/content/317350" TargetMode="External" Id="R2aaff1a8328040a8" /><Relationship Type="http://schemas.openxmlformats.org/officeDocument/2006/relationships/hyperlink" Target="https://meteor.aihw.gov.au/RegistrationAuthority/1" TargetMode="External" Id="Rb7c4b886f6264de1" /><Relationship Type="http://schemas.openxmlformats.org/officeDocument/2006/relationships/hyperlink" Target="https://meteor.aihw.gov.au/content/372123" TargetMode="External" Id="R66df4b3bfedf41e3" /><Relationship Type="http://schemas.openxmlformats.org/officeDocument/2006/relationships/hyperlink" Target="https://meteor.aihw.gov.au/RegistrationAuthority/1" TargetMode="External" Id="R0629ea3a15d74c3e" /><Relationship Type="http://schemas.openxmlformats.org/officeDocument/2006/relationships/hyperlink" Target="https://meteor.aihw.gov.au/content/484552" TargetMode="External" Id="R5e2082888b2b4406" /><Relationship Type="http://schemas.openxmlformats.org/officeDocument/2006/relationships/hyperlink" Target="https://meteor.aihw.gov.au/RegistrationAuthority/1" TargetMode="External" Id="R558ce9ab67be40ce" /><Relationship Type="http://schemas.openxmlformats.org/officeDocument/2006/relationships/hyperlink" Target="https://meteor.aihw.gov.au/RegistrationAuthority/16" TargetMode="External" Id="R2d4fc3cbe28c4368" /><Relationship Type="http://schemas.openxmlformats.org/officeDocument/2006/relationships/hyperlink" Target="https://meteor.aihw.gov.au/content/484543" TargetMode="External" Id="R196c94c1e24c4c13" /><Relationship Type="http://schemas.openxmlformats.org/officeDocument/2006/relationships/hyperlink" Target="https://meteor.aihw.gov.au/RegistrationAuthority/1" TargetMode="External" Id="R48755f79f5e24aae" /><Relationship Type="http://schemas.openxmlformats.org/officeDocument/2006/relationships/hyperlink" Target="https://meteor.aihw.gov.au/RegistrationAuthority/16" TargetMode="External" Id="R1173552c9c404d7c" /><Relationship Type="http://schemas.openxmlformats.org/officeDocument/2006/relationships/hyperlink" Target="https://meteor.aihw.gov.au/content/386485" TargetMode="External" Id="Rbe10625dc9d6495e" /><Relationship Type="http://schemas.openxmlformats.org/officeDocument/2006/relationships/hyperlink" Target="https://meteor.aihw.gov.au/RegistrationAuthority/1" TargetMode="External" Id="Rb2fa5357cc644f3e" /><Relationship Type="http://schemas.openxmlformats.org/officeDocument/2006/relationships/hyperlink" Target="https://meteor.aihw.gov.au/content/428708" TargetMode="External" Id="Ra2f329e2ba2f4457" /><Relationship Type="http://schemas.openxmlformats.org/officeDocument/2006/relationships/hyperlink" Target="https://meteor.aihw.gov.au/RegistrationAuthority/1" TargetMode="External" Id="R3e754080fd2c418e" /><Relationship Type="http://schemas.openxmlformats.org/officeDocument/2006/relationships/hyperlink" Target="https://meteor.aihw.gov.au/content/461636" TargetMode="External" Id="R09a7fbcafe3f4b8d" /><Relationship Type="http://schemas.openxmlformats.org/officeDocument/2006/relationships/hyperlink" Target="https://meteor.aihw.gov.au/RegistrationAuthority/1" TargetMode="External" Id="R23e582f4ddfb4e3d" /><Relationship Type="http://schemas.openxmlformats.org/officeDocument/2006/relationships/hyperlink" Target="https://meteor.aihw.gov.au/content/461640" TargetMode="External" Id="R6a855f0fde4141a5" /><Relationship Type="http://schemas.openxmlformats.org/officeDocument/2006/relationships/hyperlink" Target="https://meteor.aihw.gov.au/RegistrationAuthority/1" TargetMode="External" Id="R2c553c134a824359" /><Relationship Type="http://schemas.openxmlformats.org/officeDocument/2006/relationships/hyperlink" Target="https://meteor.aihw.gov.au/content/429894" TargetMode="External" Id="R0b46d4a69c034d89" /><Relationship Type="http://schemas.openxmlformats.org/officeDocument/2006/relationships/hyperlink" Target="https://meteor.aihw.gov.au/content/386445" TargetMode="External" Id="Re294408aa8a74484" /><Relationship Type="http://schemas.openxmlformats.org/officeDocument/2006/relationships/hyperlink" Target="https://meteor.aihw.gov.au/content/569749" TargetMode="External" Id="R8a024d9035434e66" /><Relationship Type="http://schemas.openxmlformats.org/officeDocument/2006/relationships/hyperlink" Target="https://meteor.aihw.gov.au/RegistrationAuthority/16" TargetMode="External" Id="R08b74cadf199416e" /><Relationship Type="http://schemas.openxmlformats.org/officeDocument/2006/relationships/hyperlink" Target="https://meteor.aihw.gov.au/content/429894" TargetMode="External" Id="R77e8b5c1f01b416b" /><Relationship Type="http://schemas.openxmlformats.org/officeDocument/2006/relationships/hyperlink" Target="https://meteor.aihw.gov.au/content/386445" TargetMode="External" Id="R2eeb32ce5ccd419c" /><Relationship Type="http://schemas.openxmlformats.org/officeDocument/2006/relationships/hyperlink" Target="https://meteor.aihw.gov.au/content/617391" TargetMode="External" Id="R0e03b2ed8897436a" /><Relationship Type="http://schemas.openxmlformats.org/officeDocument/2006/relationships/hyperlink" Target="https://meteor.aihw.gov.au/RegistrationAuthority/16" TargetMode="External" Id="Rd9553e20859d4296" /><Relationship Type="http://schemas.openxmlformats.org/officeDocument/2006/relationships/hyperlink" Target="https://meteor.aihw.gov.au/content/502689" TargetMode="External" Id="R386c5ef19ac64e8e" /><Relationship Type="http://schemas.openxmlformats.org/officeDocument/2006/relationships/hyperlink" Target="https://meteor.aihw.gov.au/content/429894" TargetMode="External" Id="R9ac2014d4b264448" /><Relationship Type="http://schemas.openxmlformats.org/officeDocument/2006/relationships/hyperlink" Target="https://meteor.aihw.gov.au/content/386445" TargetMode="External" Id="R3ab21bcdd37c4fe4" /><Relationship Type="http://schemas.openxmlformats.org/officeDocument/2006/relationships/hyperlink" Target="https://meteor.aihw.gov.au/content/637867" TargetMode="External" Id="Rb480ae894d544726" /><Relationship Type="http://schemas.openxmlformats.org/officeDocument/2006/relationships/hyperlink" Target="https://meteor.aihw.gov.au/RegistrationAuthority/16" TargetMode="External" Id="Rccdcb6ab7c654db8" /><Relationship Type="http://schemas.openxmlformats.org/officeDocument/2006/relationships/hyperlink" Target="https://meteor.aihw.gov.au/content/502689" TargetMode="External" Id="R2699f04ac0b749b5" /><Relationship Type="http://schemas.openxmlformats.org/officeDocument/2006/relationships/hyperlink" Target="https://meteor.aihw.gov.au/content/429894" TargetMode="External" Id="Rd980fa8cd9ec4e0f" /><Relationship Type="http://schemas.openxmlformats.org/officeDocument/2006/relationships/hyperlink" Target="https://meteor.aihw.gov.au/content/621477" TargetMode="External" Id="Rbbd867ea98b946f8" /><Relationship Type="http://schemas.openxmlformats.org/officeDocument/2006/relationships/hyperlink" Target="https://meteor.aihw.gov.au/content/664954" TargetMode="External" Id="Rdca5e3779082471a" /><Relationship Type="http://schemas.openxmlformats.org/officeDocument/2006/relationships/hyperlink" Target="https://meteor.aihw.gov.au/RegistrationAuthority/16" TargetMode="External" Id="Rcca64a02679c40dc" /><Relationship Type="http://schemas.openxmlformats.org/officeDocument/2006/relationships/hyperlink" Target="https://meteor.aihw.gov.au/content/502689" TargetMode="External" Id="R482c8ceba7484ecf" /><Relationship Type="http://schemas.openxmlformats.org/officeDocument/2006/relationships/hyperlink" Target="https://meteor.aihw.gov.au/content/611398" TargetMode="External" Id="R5492762d1f3a4736" /><Relationship Type="http://schemas.openxmlformats.org/officeDocument/2006/relationships/hyperlink" Target="https://meteor.aihw.gov.au/content/621477" TargetMode="External" Id="Rfdffac62a7694f41" /><Relationship Type="http://schemas.openxmlformats.org/officeDocument/2006/relationships/hyperlink" Target="https://meteor.aihw.gov.au/content/698074" TargetMode="External" Id="R4e7caefdc9f74d65" /><Relationship Type="http://schemas.openxmlformats.org/officeDocument/2006/relationships/hyperlink" Target="https://meteor.aihw.gov.au/RegistrationAuthority/16" TargetMode="External" Id="R993f6369cc6046e4" /><Relationship Type="http://schemas.openxmlformats.org/officeDocument/2006/relationships/hyperlink" Target="https://meteor.aihw.gov.au/content/502689" TargetMode="External" Id="R983f8447330b4a43" /><Relationship Type="http://schemas.openxmlformats.org/officeDocument/2006/relationships/hyperlink" Target="https://meteor.aihw.gov.au/content/611398" TargetMode="External" Id="Rfa4092f2c96c4b33" /><Relationship Type="http://schemas.openxmlformats.org/officeDocument/2006/relationships/hyperlink" Target="https://meteor.aihw.gov.au/content/621477" TargetMode="External" Id="R26ec46f327864dc0" /><Relationship Type="http://schemas.openxmlformats.org/officeDocument/2006/relationships/hyperlink" Target="https://meteor.aihw.gov.au/content/379878" TargetMode="External" Id="R12ea133536534a55" /><Relationship Type="http://schemas.openxmlformats.org/officeDocument/2006/relationships/hyperlink" Target="https://meteor.aihw.gov.au/RegistrationAuthority/1" TargetMode="External" Id="Reb2fb490cb5d4ef8" /></Relationships>
</file>

<file path=word/_rels/header1.xml.rels>&#65279;<?xml version="1.0" encoding="utf-8"?><Relationships xmlns="http://schemas.openxmlformats.org/package/2006/relationships"><Relationship Type="http://schemas.openxmlformats.org/officeDocument/2006/relationships/image" Target="/media/image.png" Id="R91f6c26bdfed49cd" /></Relationships>
</file>