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5e2ee86f7744d6" /></Relationships>
</file>

<file path=word/document.xml><?xml version="1.0" encoding="utf-8"?>
<w:document xmlns:r="http://schemas.openxmlformats.org/officeDocument/2006/relationships" xmlns:w="http://schemas.openxmlformats.org/wordprocessingml/2006/main">
  <w:body>
    <w:p>
      <w:pPr>
        <w:pStyle w:val="Title"/>
      </w:pPr>
      <w:r>
        <w:t>Person—income source (cash),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Person—income source (cash),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Sources of cash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ccfd2c8db54611">
              <w:r>
                <w:rPr>
                  <w:rStyle w:val="Hyperlink"/>
                  <w:color w:val="244061"/>
                </w:rPr>
                <w:t xml:space="preserve">Community Services (retired)</w:t>
              </w:r>
            </w:hyperlink>
            <w:r>
              <w:rPr>
                <w:rStyle w:val="row-content"/>
                <w:color w:val="244061"/>
              </w:rPr>
              <w:t xml:space="preserve">, Superseded 29/04/2006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Sources of all cash income which an individual (or income group or household) might receive e.g. from employment, property or cash transfers,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39aff8f9dd646e6">
              <w:r>
                <w:rPr>
                  <w:rStyle w:val="Hyperlink"/>
                </w:rPr>
                <w:t xml:space="preserve">Person—income source (cash)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3d2e0ec6d14e4d">
              <w:r>
                <w:rPr>
                  <w:rStyle w:val="Hyperlink"/>
                  <w:color w:val="244061"/>
                </w:rPr>
                <w:t xml:space="preserve">Community Services (retired)</w:t>
              </w:r>
            </w:hyperlink>
            <w:r>
              <w:rPr>
                <w:rStyle w:val="row-content"/>
                <w:color w:val="244061"/>
              </w:rPr>
              <w:t xml:space="preserve">, Superseded 29/04/2006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Sources of all cash income which an individual (or income group or household) might receive e.g. from employment, property or cash transfers.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Socio-economic indicator:</w:t>
            </w:r>
          </w:p>
          <w:p>
            <w:pPr>
              <w:spacing w:after="160"/>
            </w:pPr>
            <w:r>
              <w:rPr>
                <w:rStyle w:val="row-content-rich-text"/>
              </w:rPr>
              <w:t xml:space="preserve">Information about the receipt by an individual of cash income can be an indicator of the extent of financial disadvantage among clients.</w:t>
            </w:r>
          </w:p>
          <w:p>
            <w:pPr>
              <w:spacing w:after="160"/>
            </w:pPr>
            <w:r>
              <w:rPr>
                <w:rStyle w:val="row-content-rich-text"/>
              </w:rPr>
              <w:t xml:space="preserve">Needs and policy planning:</w:t>
            </w:r>
          </w:p>
          <w:p>
            <w:pPr/>
            <w:r>
              <w:rPr>
                <w:rStyle w:val="row-content-rich-text"/>
              </w:rPr>
              <w:t xml:space="preserve">Information about the receipt by an individual of cash income also helps to identify sub-groups of particular policy interest, such as, carers and people with disabilities.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67c5c303751473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27d6da4ac6b4532">
              <w:r>
                <w:rPr>
                  <w:rStyle w:val="Hyperlink"/>
                </w:rPr>
                <w:t xml:space="preserve">Source of cash of income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c24306c10cb4657">
              <w:r>
                <w:rPr>
                  <w:rStyle w:val="Hyperlink"/>
                </w:rPr>
                <w:t xml:space="preserve">Sources of cash income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e0ac179ccd4614">
              <w:r>
                <w:rPr>
                  <w:rStyle w:val="Hyperlink"/>
                  <w:color w:val="244061"/>
                </w:rPr>
                <w:t xml:space="preserve">Community Services (retired)</w:t>
              </w:r>
            </w:hyperlink>
            <w:r>
              <w:rPr>
                <w:rStyle w:val="row-content"/>
                <w:color w:val="244061"/>
              </w:rPr>
              <w:t xml:space="preserve">, Superseded 29/04/2006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sources of cash income.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Primary cash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Employee cash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Entrepreneurial cash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Property cash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Interest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Rent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   </w:t>
            </w:r>
          </w:p>
        </w:tc>
        <w:tc>
          <w:tcPr>
            <w:tcBorders>
              <w:top w:val="none" w:color="000000" w:sz="0"/>
              <w:left w:val="none" w:color="000000" w:sz="0"/>
              <w:bottom w:val="none" w:color="000000" w:sz="0"/>
              <w:right w:val="none" w:color="000000" w:sz="0"/>
            </w:tcBorders>
            <w:vAlign w:val="top"/>
          </w:tcPr>
          <w:p>
            <w:r>
              <w:t xml:space="preserve">Dividends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  </w:t>
            </w:r>
          </w:p>
        </w:tc>
        <w:tc>
          <w:tcPr>
            <w:tcBorders>
              <w:top w:val="none" w:color="000000" w:sz="0"/>
              <w:left w:val="none" w:color="000000" w:sz="0"/>
              <w:bottom w:val="none" w:color="000000" w:sz="0"/>
              <w:right w:val="none" w:color="000000" w:sz="0"/>
            </w:tcBorders>
            <w:vAlign w:val="top"/>
          </w:tcPr>
          <w:p>
            <w:r>
              <w:t xml:space="preserve">Other property cash income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  </w:t>
            </w:r>
          </w:p>
        </w:tc>
        <w:tc>
          <w:tcPr>
            <w:tcBorders>
              <w:top w:val="none" w:color="000000" w:sz="0"/>
              <w:left w:val="none" w:color="000000" w:sz="0"/>
              <w:bottom w:val="none" w:color="000000" w:sz="0"/>
              <w:right w:val="none" w:color="000000" w:sz="0"/>
            </w:tcBorders>
            <w:vAlign w:val="top"/>
          </w:tcPr>
          <w:p>
            <w:r>
              <w:t xml:space="preserve">Transfer cash income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    </w:t>
            </w:r>
          </w:p>
        </w:tc>
        <w:tc>
          <w:tcPr>
            <w:tcBorders>
              <w:top w:val="none" w:color="000000" w:sz="0"/>
              <w:left w:val="none" w:color="000000" w:sz="0"/>
              <w:bottom w:val="none" w:color="000000" w:sz="0"/>
              <w:right w:val="none" w:color="000000" w:sz="0"/>
            </w:tcBorders>
            <w:vAlign w:val="top"/>
          </w:tcPr>
          <w:p>
            <w:r>
              <w:t xml:space="preserve">Australian government cash transfers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  </w:t>
            </w:r>
          </w:p>
        </w:tc>
        <w:tc>
          <w:tcPr>
            <w:tcBorders>
              <w:top w:val="none" w:color="000000" w:sz="0"/>
              <w:left w:val="none" w:color="000000" w:sz="0"/>
              <w:bottom w:val="none" w:color="000000" w:sz="0"/>
              <w:right w:val="none" w:color="000000" w:sz="0"/>
            </w:tcBorders>
            <w:vAlign w:val="top"/>
          </w:tcPr>
          <w:p>
            <w:r>
              <w:t xml:space="preserve">Superannuation/annuities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 </w:t>
            </w:r>
          </w:p>
        </w:tc>
        <w:tc>
          <w:tcPr>
            <w:tcBorders>
              <w:top w:val="none" w:color="000000" w:sz="0"/>
              <w:left w:val="none" w:color="000000" w:sz="0"/>
              <w:bottom w:val="none" w:color="000000" w:sz="0"/>
              <w:right w:val="none" w:color="000000" w:sz="0"/>
            </w:tcBorders>
            <w:vAlign w:val="top"/>
          </w:tcPr>
          <w:p>
            <w:r>
              <w:t xml:space="preserve">Current cash transfers from private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Current cash transfers from other households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Transfers from overseas governments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Other transfer cash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person may obtain cash income from more than one of the above sources. Australian Government Cash Transfers above will be classified to a 3-digit level by target group categories which, can then be further broken down. For example, payments to parents could be broken down into payments to single parents and payments to partnered parents. The latter can be broken down again between those receiving the basic amount and those on full or above basic amounts. Similarly, payments to persons of employable age not elsewhere included, can be divided between different payments like Newstart and Mature Age Allowance, or between job seekers and others.</w:t>
            </w:r>
          </w:p>
          <w:p>
            <w:pPr/>
            <w:r>
              <w:rPr>
                <w:rStyle w:val="row-content-rich-text"/>
              </w:rPr>
              <w:t xml:space="preserve">Social security legislation provides a classification of social security payments of different types.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can provide a fuller picture of a person's income and/or socio-economic status. It can be used in conjunction labour-force data items, but is not a replacement for them.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Currently four Commonwealth government agencies are responsible for the administration of social security payments. These are the Department of Family and Community Services, the Department of Veterans' Affairs, the Department of Education, Training and Youth Affairs, and the Aboriginal and Torres Strait Islander Commission. See Centrelink Information: A guide to payments and services for details of payments administered by Centrelink on behalf of each of these agencies.</w:t>
            </w:r>
            <w:r>
              <w:br/>
            </w:r>
            <w:r>
              <w:rPr>
                <w:rStyle w:val="row-content-rich-text"/>
              </w:rPr>
              <w:t xml:space="preserve">Refer to Origin document for further details.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Commonwealth Department of Family and Community Services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Centrelink Information: A guide to payments and services. 1999-2000.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252993a897b4751">
              <w:r>
                <w:rPr>
                  <w:rStyle w:val="Hyperlink"/>
                </w:rPr>
                <w:t xml:space="preserve">Person—source of cash income (all) code NN</w:t>
              </w:r>
            </w:hyperlink>
          </w:p>
          <w:p>
            <w:pPr>
              <w:spacing w:before="0" w:after="0"/>
            </w:pPr>
            <w:r>
              <w:rPr>
                <w:rStyle w:val="row-content"/>
                <w:color w:val="244061"/>
              </w:rPr>
              <w:t xml:space="preserve">       </w:t>
            </w:r>
            <w:hyperlink w:history="true" r:id="R63414eba75aa405e">
              <w:r>
                <w:rPr>
                  <w:rStyle w:val="Hyperlink"/>
                  <w:color w:val="244061"/>
                </w:rPr>
                <w:t xml:space="preserve">Community Services (retired)</w:t>
              </w:r>
            </w:hyperlink>
            <w:r>
              <w:rPr>
                <w:rStyle w:val="row-content"/>
                <w:color w:val="244061"/>
              </w:rPr>
              <w:t xml:space="preserve">, Standard 29/04/2006</w:t>
            </w:r>
          </w:p>
          <w:p>
            <w:r>
              <w:br/>
            </w:r>
            <w:r>
              <w:rPr>
                <w:rStyle w:val="row-content"/>
              </w:rPr>
              <w:t xml:space="preserve">Is re-engineered from </w:t>
            </w:r>
            <w:hyperlink w:history="true" r:id="R7b927fc4c99248b4">
              <w:r>
                <w:drawing>
                  <wp:inline xmlns:wp="http://schemas.openxmlformats.org/drawingml/2006/wordprocessingDrawing" distT="0" distB="0" distL="0" distR="0">
                    <wp:extent cx="152400" cy="152400"/>
                    <wp:effectExtent l="19050" t="0" r="0" b="0"/>
                    <wp:docPr id="2" name="Picture 2" descr="">
                      <a:hlinkClick xmlns:a="http://schemas.openxmlformats.org/drawingml/2006/main" r:id="R7b927fc4c99248b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9a2501f6ed340f2"/>
                            <a:srcRect/>
                            <a:stretch>
                              <a:fillRect/>
                            </a:stretch>
                          </pic:blipFill>
                          <pic:spPr bwMode="auto">
                            <a:xfrm>
                              <a:off x="0" y="0"/>
                              <a:ext cx="152400" cy="152400"/>
                            </a:xfrm>
                            <a:prstGeom prst="rect">
                              <a:avLst/>
                            </a:prstGeom>
                          </pic:spPr>
                        </pic:pic>
                      </a:graphicData>
                    </a:graphic>
                  </wp:inline>
                </w:drawing>
              </w:r>
              <w:r>
                <w:rPr>
                  <w:rStyle w:val="Hyperlink"/>
                </w:rPr>
                <w:t xml:space="preserve"> Sources of cash income, version 1, DE, NCSDD, NCSIMG, Superseded 01/03/2005.pdf</w:t>
              </w:r>
            </w:hyperlink>
          </w:p>
          <w:p>
            <w:r>
              <w:rPr>
                <w:rStyle w:val="row-content"/>
              </w:rPr>
              <w:t xml:space="preserve"> (18.7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c69cfd556cd140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270382</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374b27eaca4e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9cfd556cd1400b" /><Relationship Type="http://schemas.openxmlformats.org/officeDocument/2006/relationships/header" Target="/word/header1.xml" Id="R4905d27deab44549" /><Relationship Type="http://schemas.openxmlformats.org/officeDocument/2006/relationships/settings" Target="/word/settings.xml" Id="Re6617e92fed14533" /><Relationship Type="http://schemas.openxmlformats.org/officeDocument/2006/relationships/styles" Target="/word/styles.xml" Id="R3b836f63072940ce" /><Relationship Type="http://schemas.openxmlformats.org/officeDocument/2006/relationships/hyperlink" Target="https://meteor.aihw.gov.au/RegistrationAuthority/1" TargetMode="External" Id="Rd1ccfd2c8db54611" /><Relationship Type="http://schemas.openxmlformats.org/officeDocument/2006/relationships/hyperlink" Target="https://meteor.aihw.gov.au/content/269810" TargetMode="External" Id="R039aff8f9dd646e6" /><Relationship Type="http://schemas.openxmlformats.org/officeDocument/2006/relationships/hyperlink" Target="https://meteor.aihw.gov.au/RegistrationAuthority/1" TargetMode="External" Id="Rad3d2e0ec6d14e4d" /><Relationship Type="http://schemas.openxmlformats.org/officeDocument/2006/relationships/hyperlink" Target="https://meteor.aihw.gov.au/content/268955" TargetMode="External" Id="Rc67c5c303751473e" /><Relationship Type="http://schemas.openxmlformats.org/officeDocument/2006/relationships/hyperlink" Target="https://meteor.aihw.gov.au/content/269271" TargetMode="External" Id="Re27d6da4ac6b4532" /><Relationship Type="http://schemas.openxmlformats.org/officeDocument/2006/relationships/hyperlink" Target="https://meteor.aihw.gov.au/content/270887" TargetMode="External" Id="R0c24306c10cb4657" /><Relationship Type="http://schemas.openxmlformats.org/officeDocument/2006/relationships/hyperlink" Target="https://meteor.aihw.gov.au/RegistrationAuthority/1" TargetMode="External" Id="R09e0ac179ccd4614" /><Relationship Type="http://schemas.openxmlformats.org/officeDocument/2006/relationships/hyperlink" Target="https://meteor.aihw.gov.au/content/321156" TargetMode="External" Id="R8252993a897b4751" /><Relationship Type="http://schemas.openxmlformats.org/officeDocument/2006/relationships/hyperlink" Target="https://meteor.aihw.gov.au/RegistrationAuthority/1" TargetMode="External" Id="R63414eba75aa405e" /><Relationship Type="http://schemas.openxmlformats.org/officeDocument/2006/relationships/hyperlink" Target="https://meteor.aihw.gov.au/content/273519" TargetMode="External" Id="R7b927fc4c99248b4" /><Relationship Type="http://schemas.openxmlformats.org/officeDocument/2006/relationships/image" Target="/media/image.gif" Id="R39a2501f6ed340f2" /></Relationships>
</file>

<file path=word/_rels/header1.xml.rels>&#65279;<?xml version="1.0" encoding="utf-8"?><Relationships xmlns="http://schemas.openxmlformats.org/package/2006/relationships"><Relationship Type="http://schemas.openxmlformats.org/officeDocument/2006/relationships/image" Target="/media/image.png" Id="R7c374b27eaca4e91" /></Relationships>
</file>