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33f3f36829477a" /></Relationships>
</file>

<file path=word/document.xml><?xml version="1.0" encoding="utf-8"?>
<w:document xmlns:r="http://schemas.openxmlformats.org/officeDocument/2006/relationships" xmlns:w="http://schemas.openxmlformats.org/wordprocessingml/2006/main">
  <w:body>
    <w:p>
      <w:pPr>
        <w:pStyle w:val="Title"/>
      </w:pPr>
      <w:r>
        <w:t>Person—visual acuity (right eye),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Person—visual acuity (right eye),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Visual acuity (right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b0657ae7384b7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right eye visual acuity,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07f581715e4f6a">
              <w:r>
                <w:rPr>
                  <w:rStyle w:val="Hyperlink"/>
                </w:rPr>
                <w:t xml:space="preserve">Person—visual acuity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be357609c14570">
              <w:r>
                <w:rPr>
                  <w:rStyle w:val="Hyperlink"/>
                </w:rPr>
                <w:t xml:space="preserve">Visual acuity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CF (count fingers)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HM (hand movement)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PL (perceive light)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BL (blind)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actual result for both right and left eyes:</w:t>
            </w:r>
          </w:p>
          <w:p>
            <w:pPr>
              <w:pStyle w:val="ListParagraph"/>
              <w:numPr>
                <w:ilvl w:val="0"/>
                <w:numId w:val="2"/>
              </w:numPr>
            </w:pPr>
            <w:r>
              <w:rPr>
                <w:rStyle w:val="row-content-rich-text"/>
              </w:rPr>
              <w:t xml:space="preserve">1st field: Right eye</w:t>
            </w:r>
          </w:p>
          <w:p>
            <w:pPr>
              <w:pStyle w:val="ListParagraph"/>
              <w:numPr>
                <w:ilvl w:val="0"/>
                <w:numId w:val="2"/>
              </w:numPr>
            </w:pPr>
            <w:r>
              <w:rPr>
                <w:rStyle w:val="row-content-rich-text"/>
              </w:rPr>
              <w:t xml:space="preserve">2nd field: Left eye.</w:t>
            </w:r>
          </w:p>
          <w:p>
            <w:pPr>
              <w:spacing w:after="160"/>
            </w:pPr>
            <w:r>
              <w:rPr>
                <w:rStyle w:val="row-content-rich-text"/>
              </w:rPr>
              <w:t xml:space="preserve">Test wearing distance glasses if prescribed.</w:t>
            </w:r>
          </w:p>
          <w:p>
            <w:pPr/>
            <w:r>
              <w:rPr>
                <w:rStyle w:val="row-content-rich-text"/>
              </w:rPr>
              <w:t xml:space="preserve">Use pinhole if vision less than 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One of the most often utilised tests for visual acuity uses the Snellen chart.</w:t>
            </w:r>
          </w:p>
          <w:p>
            <w:pPr>
              <w:pStyle w:val="ListParagraph"/>
              <w:numPr>
                <w:ilvl w:val="0"/>
                <w:numId w:val="3"/>
              </w:numPr>
            </w:pPr>
            <w:r>
              <w:rPr>
                <w:rStyle w:val="row-content-rich-text"/>
              </w:rPr>
              <w:t xml:space="preserve">At a distance of 6 metres all subjects should be able to read the 6/6 line with each eye using the proper refractive correction.</w:t>
            </w:r>
          </w:p>
          <w:p>
            <w:pPr>
              <w:pStyle w:val="ListParagraph"/>
              <w:numPr>
                <w:ilvl w:val="0"/>
                <w:numId w:val="3"/>
              </w:numPr>
            </w:pPr>
            <w:r>
              <w:rPr>
                <w:rStyle w:val="row-content-rich-text"/>
              </w:rPr>
              <w:t xml:space="preserve">Both eyes are to be opened and then cover one eye with the ocular occluder.</w:t>
            </w:r>
          </w:p>
          <w:p>
            <w:pPr>
              <w:pStyle w:val="ListParagraph"/>
              <w:numPr>
                <w:ilvl w:val="0"/>
                <w:numId w:val="3"/>
              </w:numPr>
            </w:pPr>
            <w:r>
              <w:rPr>
                <w:rStyle w:val="row-content-rich-text"/>
              </w:rPr>
              <w:t xml:space="preserve">The observer has to read out the smallest line of letters that he/she can see from the chart.</w:t>
            </w:r>
          </w:p>
          <w:p>
            <w:pPr>
              <w:pStyle w:val="ListParagraph"/>
              <w:numPr>
                <w:ilvl w:val="0"/>
                <w:numId w:val="3"/>
              </w:numPr>
            </w:pPr>
            <w:r>
              <w:rPr>
                <w:rStyle w:val="row-content-rich-text"/>
              </w:rPr>
              <w:t xml:space="preserve">This is to be repeated with the other eye.</w:t>
            </w:r>
          </w:p>
          <w:p>
            <w:pPr>
              <w:spacing w:after="160"/>
            </w:pPr>
            <w:r>
              <w:rPr>
                <w:rStyle w:val="row-content-rich-text"/>
              </w:rPr>
              <w:t xml:space="preserve">Eye examination should be performed by an ophthalmologist or a suitably trained clinician:</w:t>
            </w:r>
          </w:p>
          <w:p>
            <w:pPr>
              <w:pStyle w:val="ListParagraph"/>
              <w:numPr>
                <w:ilvl w:val="0"/>
                <w:numId w:val="4"/>
              </w:numPr>
            </w:pPr>
            <w:r>
              <w:rPr>
                <w:rStyle w:val="row-content-rich-text"/>
              </w:rPr>
              <w:t xml:space="preserve">within five years of </w:t>
            </w:r>
            <w:hyperlink w:tooltip="A diagnosis is the decision reached, after assessment, of the nature and identity of the disease or condition of a patient or recipient of residential care (resident)." w:history="true" r:id="R85a29c3497cd48ae">
              <w:r>
                <w:rPr>
                  <w:rStyle w:val="Hyperlink"/>
                  <w:b/>
                </w:rPr>
                <w:t xml:space="preserve">diagnosis</w:t>
              </w:r>
            </w:hyperlink>
            <w:r>
              <w:rPr>
                <w:rStyle w:val="row-content-rich-text"/>
              </w:rPr>
              <w:t xml:space="preserve"> and then every 1-2 years for patients whose diabetes onset was at age under 30 years</w:t>
            </w:r>
          </w:p>
          <w:p>
            <w:pPr>
              <w:pStyle w:val="ListParagraph"/>
              <w:numPr>
                <w:ilvl w:val="0"/>
                <w:numId w:val="4"/>
              </w:numPr>
            </w:pPr>
            <w:r>
              <w:rPr>
                <w:rStyle w:val="row-content-rich-text"/>
              </w:rPr>
              <w:t xml:space="preserve">at diagnosis and then every 1-2 years for patients whose diabetes onset was at age 30 years or more.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Vision Australia, No 2, 1997/8; University of Melbourne</w:t>
            </w:r>
          </w:p>
          <w:p>
            <w:pPr>
              <w:spacing w:after="160"/>
            </w:pPr>
            <w:r>
              <w:rPr>
                <w:rStyle w:val="row-content-rich-text"/>
              </w:rPr>
              <w:t xml:space="preserve">World Health Organization</w:t>
            </w:r>
          </w:p>
          <w:p>
            <w:pPr>
              <w:spacing w:after="160"/>
            </w:pPr>
            <w:r>
              <w:rPr>
                <w:rStyle w:val="row-content-rich-text"/>
              </w:rPr>
              <w:t xml:space="preserve">US National Library of Medicine</w:t>
            </w:r>
          </w:p>
          <w:p>
            <w:pPr>
              <w:spacing w:after="160"/>
            </w:pPr>
            <w:r>
              <w:rPr>
                <w:rStyle w:val="row-content-rich-text"/>
              </w:rPr>
              <w:t xml:space="preserve">Diabetes Control and Complications Trial: DCCT New England Journal of Medicine, 329(14), September 30, 1993</w:t>
            </w:r>
          </w:p>
          <w:p>
            <w:pPr/>
            <w:r>
              <w:rPr>
                <w:rStyle w:val="row-content-rich-text"/>
              </w:rPr>
              <w:t xml:space="preserve">Principles of Care and Guidelines for the Clinical Management of Diabetes Mellitus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c14fadffcea4eef">
              <w:r>
                <w:drawing>
                  <wp:inline xmlns:wp="http://schemas.openxmlformats.org/drawingml/2006/wordprocessingDrawing" distT="0" distB="0" distL="0" distR="0">
                    <wp:extent cx="152400" cy="152400"/>
                    <wp:effectExtent l="19050" t="0" r="0" b="0"/>
                    <wp:docPr id="2" name="Picture 2" descr="">
                      <a:hlinkClick xmlns:a="http://schemas.openxmlformats.org/drawingml/2006/main" r:id="R8c14fadffcea4ee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622177011094acd"/>
                            <a:srcRect/>
                            <a:stretch>
                              <a:fillRect/>
                            </a:stretch>
                          </pic:blipFill>
                          <pic:spPr bwMode="auto">
                            <a:xfrm>
                              <a:off x="0" y="0"/>
                              <a:ext cx="152400" cy="152400"/>
                            </a:xfrm>
                            <a:prstGeom prst="rect">
                              <a:avLst/>
                            </a:prstGeom>
                          </pic:spPr>
                        </pic:pic>
                      </a:graphicData>
                    </a:graphic>
                  </wp:inline>
                </w:drawing>
              </w:r>
              <w:r>
                <w:rPr>
                  <w:rStyle w:val="Hyperlink"/>
                </w:rPr>
                <w:t xml:space="preserve"> Visual acuity, version 1, DE, NHDD, NHIMG, Superseded 01/03/2005.pdf</w:t>
              </w:r>
            </w:hyperlink>
          </w:p>
          <w:p>
            <w:r>
              <w:rPr>
                <w:rStyle w:val="row-content"/>
              </w:rPr>
              <w:t xml:space="preserve"> (19.3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da2193d094704d33">
              <w:r>
                <w:rPr>
                  <w:rStyle w:val="Hyperlink"/>
                </w:rPr>
                <w:t xml:space="preserve">Person—visual acuity (left eye), code NN</w:t>
              </w:r>
            </w:hyperlink>
          </w:p>
          <w:p>
            <w:pPr>
              <w:spacing w:before="0" w:after="0"/>
            </w:pPr>
            <w:r>
              <w:rPr>
                <w:rStyle w:val="row-content"/>
                <w:color w:val="244061"/>
              </w:rPr>
              <w:t xml:space="preserve">       </w:t>
            </w:r>
            <w:hyperlink w:history="true" r:id="Re5420ffabb0540e6">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422191c88342af">
              <w:r>
                <w:rPr>
                  <w:rStyle w:val="Hyperlink"/>
                </w:rPr>
                <w:t xml:space="preserve">Diabetes (clinical) DSS</w:t>
              </w:r>
            </w:hyperlink>
          </w:p>
          <w:p>
            <w:pPr>
              <w:spacing w:before="0" w:after="0"/>
            </w:pPr>
            <w:r>
              <w:rPr>
                <w:rStyle w:val="row-content"/>
                <w:color w:val="244061"/>
              </w:rPr>
              <w:t xml:space="preserve">       </w:t>
            </w:r>
            <w:hyperlink w:history="true" r:id="Rc31fa882ec6442f0">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Record actual result for both right and left eyes (this is a repeating field):</w:t>
            </w:r>
          </w:p>
          <w:p>
            <w:pPr>
              <w:pStyle w:val="ListParagraph"/>
              <w:numPr>
                <w:ilvl w:val="0"/>
                <w:numId w:val="5"/>
              </w:numPr>
            </w:pPr>
            <w:r>
              <w:rPr>
                <w:rStyle w:val="row-content"/>
              </w:rPr>
              <w:t xml:space="preserve">1st field: Right eye</w:t>
            </w:r>
          </w:p>
          <w:p>
            <w:pPr>
              <w:pStyle w:val="ListParagraph"/>
              <w:numPr>
                <w:ilvl w:val="0"/>
                <w:numId w:val="5"/>
              </w:numPr>
            </w:pPr>
            <w:r>
              <w:rPr>
                <w:rStyle w:val="row-content"/>
              </w:rPr>
              <w:t xml:space="preserve">2nd field: Left eye.</w:t>
            </w:r>
          </w:p>
          <w:p>
            <w:r>
              <w:br/>
            </w:r>
            <w:r>
              <w:br/>
            </w:r>
            <w:hyperlink w:history="true" r:id="R49bb6c4ea17447e0">
              <w:r>
                <w:rPr>
                  <w:rStyle w:val="Hyperlink"/>
                </w:rPr>
                <w:t xml:space="preserve">Diabetes (clinical) NBPDS</w:t>
              </w:r>
            </w:hyperlink>
          </w:p>
          <w:p>
            <w:pPr>
              <w:spacing w:before="0" w:after="0"/>
            </w:pPr>
            <w:r>
              <w:rPr>
                <w:rStyle w:val="row-content"/>
                <w:color w:val="244061"/>
              </w:rPr>
              <w:t xml:space="preserve">       </w:t>
            </w:r>
            <w:hyperlink w:history="true" r:id="Rc682dda0ff1f45d3">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Patients with diabetes have an increased risk of developing several eye complications including retinopathy, cataract and glaucoma that can lead to loss of vision. Regular eye checkups are important for patients suffering from diabetes mellitus. This helps to detect and treat abnormalities early and to avoid or postpone vision-threatening complications. Assessment by an ophthalmologist is essential:</w:t>
            </w:r>
          </w:p>
          <w:p>
            <w:pPr>
              <w:pStyle w:val="ListParagraph"/>
              <w:numPr>
                <w:ilvl w:val="0"/>
                <w:numId w:val="6"/>
              </w:numPr>
            </w:pPr>
            <w:r>
              <w:rPr>
                <w:rStyle w:val="row-content"/>
              </w:rPr>
              <w:t xml:space="preserve">at initial examination if the corrected visual acuity is less than 6/6 in either eye</w:t>
            </w:r>
          </w:p>
          <w:p>
            <w:pPr>
              <w:pStyle w:val="ListParagraph"/>
              <w:numPr>
                <w:ilvl w:val="0"/>
                <w:numId w:val="6"/>
              </w:numPr>
            </w:pPr>
            <w:r>
              <w:rPr>
                <w:rStyle w:val="row-content"/>
              </w:rPr>
              <w:t xml:space="preserve">if at subsequent examinations declining visual acuity is detected</w:t>
            </w:r>
          </w:p>
          <w:p>
            <w:pPr>
              <w:pStyle w:val="ListParagraph"/>
              <w:numPr>
                <w:ilvl w:val="0"/>
                <w:numId w:val="6"/>
              </w:numPr>
            </w:pPr>
            <w:r>
              <w:rPr>
                <w:rStyle w:val="row-content"/>
              </w:rPr>
              <w:t xml:space="preserve">if any retinal abnormality is detected</w:t>
            </w:r>
          </w:p>
          <w:p>
            <w:pPr>
              <w:pStyle w:val="ListParagraph"/>
              <w:numPr>
                <w:ilvl w:val="0"/>
                <w:numId w:val="6"/>
              </w:numPr>
            </w:pPr>
            <w:r>
              <w:rPr>
                <w:rStyle w:val="row-content"/>
              </w:rPr>
              <w:t xml:space="preserve">if clear view of retina is not obtained.</w:t>
            </w:r>
          </w:p>
          <w:p>
            <w:r>
              <w:br/>
            </w:r>
            <w:r>
              <w:br/>
            </w:r>
          </w:p>
        </w:tc>
      </w:tr>
    </w:tbl>
    <w:p/>
    <w:tbl>
      <w:tblPr>
        <w:tblStyle w:val="TableGrid"/>
        <w:tblW w:w="0" w:type="auto"/>
      </w:tblPr>
    </w:tbl>
    <w:p>
      <w:r>
        <w:br/>
      </w:r>
    </w:p>
    <w:sectPr>
      <w:footerReference xmlns:r="http://schemas.openxmlformats.org/officeDocument/2006/relationships" w:type="default" r:id="Rc3292086a6fc4b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270381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a66db621054e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292086a6fc4b0b" /><Relationship Type="http://schemas.openxmlformats.org/officeDocument/2006/relationships/header" Target="/word/header1.xml" Id="R0638807fe2cd4316" /><Relationship Type="http://schemas.openxmlformats.org/officeDocument/2006/relationships/settings" Target="/word/settings.xml" Id="R5cd2d22910464bf4" /><Relationship Type="http://schemas.openxmlformats.org/officeDocument/2006/relationships/styles" Target="/word/styles.xml" Id="Rbe251729c0614ffd" /><Relationship Type="http://schemas.openxmlformats.org/officeDocument/2006/relationships/hyperlink" Target="https://meteor.aihw.gov.au/RegistrationAuthority/12" TargetMode="External" Id="Rb8b0657ae7384b72" /><Relationship Type="http://schemas.openxmlformats.org/officeDocument/2006/relationships/hyperlink" Target="https://meteor.aihw.gov.au/content/269480" TargetMode="External" Id="Rb407f581715e4f6a" /><Relationship Type="http://schemas.openxmlformats.org/officeDocument/2006/relationships/hyperlink" Target="https://meteor.aihw.gov.au/content/270634" TargetMode="External" Id="Rc4be357609c14570" /><Relationship Type="http://schemas.openxmlformats.org/officeDocument/2006/relationships/numbering" Target="/word/numbering.xml" Id="R18a8da7f1b7844be" /><Relationship Type="http://schemas.openxmlformats.org/officeDocument/2006/relationships/hyperlink" Target="https://meteor.aihw.gov.au/content/327224" TargetMode="External" Id="R85a29c3497cd48ae" /><Relationship Type="http://schemas.openxmlformats.org/officeDocument/2006/relationships/hyperlink" Target="https://meteor.aihw.gov.au/content/273892" TargetMode="External" Id="R8c14fadffcea4eef" /><Relationship Type="http://schemas.openxmlformats.org/officeDocument/2006/relationships/image" Target="/media/image.gif" Id="R8622177011094acd" /><Relationship Type="http://schemas.openxmlformats.org/officeDocument/2006/relationships/hyperlink" Target="https://meteor.aihw.gov.au/content/269963" TargetMode="External" Id="Rda2193d094704d33" /><Relationship Type="http://schemas.openxmlformats.org/officeDocument/2006/relationships/hyperlink" Target="https://meteor.aihw.gov.au/RegistrationAuthority/12" TargetMode="External" Id="Re5420ffabb0540e6" /><Relationship Type="http://schemas.openxmlformats.org/officeDocument/2006/relationships/hyperlink" Target="https://meteor.aihw.gov.au/content/273054" TargetMode="External" Id="R44422191c88342af" /><Relationship Type="http://schemas.openxmlformats.org/officeDocument/2006/relationships/hyperlink" Target="https://meteor.aihw.gov.au/RegistrationAuthority/12" TargetMode="External" Id="Rc31fa882ec6442f0" /><Relationship Type="http://schemas.openxmlformats.org/officeDocument/2006/relationships/hyperlink" Target="https://meteor.aihw.gov.au/content/304865" TargetMode="External" Id="R49bb6c4ea17447e0" /><Relationship Type="http://schemas.openxmlformats.org/officeDocument/2006/relationships/hyperlink" Target="https://meteor.aihw.gov.au/RegistrationAuthority/12" TargetMode="External" Id="Rc682dda0ff1f45d3" /></Relationships>
</file>

<file path=word/_rels/header1.xml.rels>&#65279;<?xml version="1.0" encoding="utf-8"?><Relationships xmlns="http://schemas.openxmlformats.org/package/2006/relationships"><Relationship Type="http://schemas.openxmlformats.org/officeDocument/2006/relationships/image" Target="/media/image.png" Id="R36a66db621054e9f" /></Relationships>
</file>