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311de4bfc464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b3684c7444171">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open for the provision of service(s) in a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d8be289074d1a">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1ebb71c0b4344">
              <w:r>
                <w:rPr>
                  <w:rStyle w:val="Hyperlink"/>
                </w:rPr>
                <w:t xml:space="preserve">Total service operation days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numbers are 1 to 7.</w:t>
            </w:r>
          </w:p>
          <w:p>
            <w:pPr>
              <w:spacing w:after="160"/>
            </w:pPr>
            <w:r>
              <w:rPr>
                <w:rStyle w:val="row-content-rich-text"/>
              </w:rPr>
              <w:t xml:space="preserve">Record whole numbers only for the total number of days per week that the outlet provides any service to clients on. If an outlet provides one instance or more of service to one or more clients on a particular day, it is counted as operating on that day, regardless of the amount of time that it operates. The service must be provided by the outlet but not necessarily from its physical setting. For example home care that is arranged by an outlet to occur on a particular day on which the office of that outlet is not open still counts as a day of operation for that service outlet.</w:t>
            </w:r>
          </w:p>
          <w:p>
            <w:pPr/>
            <w:r>
              <w:rPr>
                <w:rStyle w:val="row-content-rich-text"/>
              </w:rPr>
              <w:t xml:space="preserve">When an agency operates on a day but does not provide services to clients on that day it should still be counted as a day of operation. For example, an agency may be open for service, such as a drop in service, but no clients are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should be collected for all the types of services that an outlet offers.</w:t>
            </w:r>
          </w:p>
          <w:p>
            <w:pPr>
              <w:spacing w:after="160"/>
            </w:pPr>
            <w:r>
              <w:rPr>
                <w:rStyle w:val="row-content-rich-text"/>
              </w:rPr>
              <w:t xml:space="preserve">However, it can also be collected for different types of services within data collections, sectors or agencies. For example it may be useful to know on how many days per week a certain type of service (such as counselling) is offered.</w:t>
            </w:r>
          </w:p>
          <w:p>
            <w:pPr>
              <w:spacing w:after="160"/>
            </w:pPr>
            <w:r>
              <w:rPr>
                <w:rStyle w:val="row-content-rich-text"/>
              </w:rPr>
              <w:t xml:space="preserve">For this metadata item to be nationally comparable though the number of days per week that the service operates providing any service needs to be collected.</w:t>
            </w:r>
          </w:p>
          <w:p>
            <w:pPr>
              <w:spacing w:after="160"/>
            </w:pPr>
            <w:r>
              <w:rPr>
                <w:rStyle w:val="row-content-rich-text"/>
              </w:rPr>
              <w:t xml:space="preserve">For agencies or collections requiring further detail, this data could be collected within a range of other metadata items such as the actual days of the week that certain services are offered.</w:t>
            </w:r>
          </w:p>
          <w:p>
            <w:pPr/>
            <w:r>
              <w:rPr>
                <w:rStyle w:val="row-content-rich-text"/>
              </w:rPr>
              <w:t xml:space="preserve">When collected in conjunction with 'Community services agency—number of service operation hours (24 hour period), total NN', and 'Community services agency—number of service operation weeks (calendar year), total NN'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92b20628564fdd">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a9a62bbac0e54c59">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c1da8294a0454a0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21116f973d5494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977653427714b11">
              <w:r>
                <w:rPr>
                  <w:rStyle w:val="Hyperlink"/>
                  <w:color w:val="244061"/>
                </w:rPr>
                <w:t xml:space="preserve">Indigenous</w:t>
              </w:r>
            </w:hyperlink>
            <w:r>
              <w:rPr>
                <w:rStyle w:val="row-content"/>
                <w:color w:val="244061"/>
              </w:rPr>
              <w:t xml:space="preserve">, Standard 13/03/2015</w:t>
            </w:r>
          </w:p>
          <w:p>
            <w:r>
              <w:br/>
            </w:r>
            <w:r>
              <w:rPr>
                <w:rStyle w:val="row-content"/>
              </w:rPr>
              <w:t xml:space="preserve">Is re-engineered from </w:t>
            </w:r>
            <w:hyperlink w:history="true" r:id="R6b3ff0c1d5954a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3ff0c1d5954a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6b4639a54745c1"/>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days, version 1, DE,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74458ebd7db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3559cfda5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458ebd7db4cce" /><Relationship Type="http://schemas.openxmlformats.org/officeDocument/2006/relationships/header" Target="/word/header1.xml" Id="Rdaeb238895c741c7" /><Relationship Type="http://schemas.openxmlformats.org/officeDocument/2006/relationships/settings" Target="/word/settings.xml" Id="R6b025fd9b1d34668" /><Relationship Type="http://schemas.openxmlformats.org/officeDocument/2006/relationships/styles" Target="/word/styles.xml" Id="R2048a3885a974736" /><Relationship Type="http://schemas.openxmlformats.org/officeDocument/2006/relationships/hyperlink" Target="https://meteor.aihw.gov.au/RegistrationAuthority/1" TargetMode="External" Id="Racfb3684c7444171" /><Relationship Type="http://schemas.openxmlformats.org/officeDocument/2006/relationships/hyperlink" Target="https://meteor.aihw.gov.au/content/269805" TargetMode="External" Id="R244d8be289074d1a" /><Relationship Type="http://schemas.openxmlformats.org/officeDocument/2006/relationships/hyperlink" Target="https://meteor.aihw.gov.au/content/270878" TargetMode="External" Id="R6c81ebb71c0b4344" /><Relationship Type="http://schemas.openxmlformats.org/officeDocument/2006/relationships/hyperlink" Target="https://meteor.aihw.gov.au/content/323188" TargetMode="External" Id="R8c92b20628564fdd" /><Relationship Type="http://schemas.openxmlformats.org/officeDocument/2006/relationships/hyperlink" Target="https://meteor.aihw.gov.au/RegistrationAuthority/1" TargetMode="External" Id="Ra9a62bbac0e54c59" /><Relationship Type="http://schemas.openxmlformats.org/officeDocument/2006/relationships/hyperlink" Target="https://meteor.aihw.gov.au/RegistrationAuthority/16" TargetMode="External" Id="Rc1da8294a0454a0a" /><Relationship Type="http://schemas.openxmlformats.org/officeDocument/2006/relationships/hyperlink" Target="https://meteor.aihw.gov.au/RegistrationAuthority/12" TargetMode="External" Id="R721116f973d54949" /><Relationship Type="http://schemas.openxmlformats.org/officeDocument/2006/relationships/hyperlink" Target="https://meteor.aihw.gov.au/RegistrationAuthority/6" TargetMode="External" Id="Rb977653427714b11" /><Relationship Type="http://schemas.openxmlformats.org/officeDocument/2006/relationships/hyperlink" Target="https://meteor.aihw.gov.au/content/273489" TargetMode="External" Id="R6b3ff0c1d5954a9a" /><Relationship Type="http://schemas.openxmlformats.org/officeDocument/2006/relationships/image" Target="/media/image.gif" Id="Rf36b4639a54745c1" /></Relationships>
</file>

<file path=word/_rels/header1.xml.rels>&#65279;<?xml version="1.0" encoding="utf-8"?><Relationships xmlns="http://schemas.openxmlformats.org/package/2006/relationships"><Relationship Type="http://schemas.openxmlformats.org/officeDocument/2006/relationships/image" Target="/media/image.png" Id="Rf843559cfda54f99" /></Relationships>
</file>