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2d14c6a314842" /></Relationships>
</file>

<file path=word/document.xml><?xml version="1.0" encoding="utf-8"?>
<w:document xmlns:r="http://schemas.openxmlformats.org/officeDocument/2006/relationships" xmlns:w="http://schemas.openxmlformats.org/wordprocessingml/2006/main">
  <w:body>
    <w:p>
      <w:pPr>
        <w:pStyle w:val="Title"/>
      </w:pPr>
      <w:r>
        <w:t>Person—hip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Hip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4dc7f552f41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adult's hip circumference at the level of maximum posterior extension of the buttocks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cc0b04a534494">
              <w:r>
                <w:rPr>
                  <w:rStyle w:val="Hyperlink"/>
                </w:rPr>
                <w:t xml:space="preserve">Person—hip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6e8e294434d2b">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no cut-off points for waist-to-hip ratio for children and adolescents, it is not necessary to collect this metadata item for those aged 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is that recommended by the </w:t>
            </w:r>
            <w:r>
              <w:rPr>
                <w:rStyle w:val="row-content-rich-text"/>
                <w:i/>
              </w:rPr>
              <w:t xml:space="preserve">World Health Organization (WHO Expert Committee 1995).</w:t>
            </w:r>
          </w:p>
          <w:p>
            <w:pPr>
              <w:spacing w:after="160"/>
            </w:pPr>
            <w:r>
              <w:rPr>
                <w:rStyle w:val="row-content-rich-text"/>
              </w:rPr>
              <w:t xml:space="preserve">Measurement protocol:</w:t>
            </w:r>
          </w:p>
          <w:p>
            <w:pPr>
              <w:spacing w:after="160"/>
            </w:pPr>
            <w:r>
              <w:rPr>
                <w:rStyle w:val="row-content-rich-text"/>
              </w:rPr>
              <w:t xml:space="preserve">The data collection form should allow for up to three measurements of hip circumference to be recorded in centimetres to 1 decimal place. The data collection form should also have the capacity to record any reasons for the non-collection of hip circumference data.</w:t>
            </w:r>
          </w:p>
          <w:p>
            <w:pPr>
              <w:spacing w:after="160"/>
            </w:pPr>
            <w:r>
              <w:rPr>
                <w:rStyle w:val="row-content-rich-text"/>
              </w:rPr>
              <w:t xml:space="preserve">The measurement of hip circumference requires a narrow (&lt;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wear only non-restrictive briefs or underwear, a light smock over underwear or light clothing. Belts and heavy outer clothing should be removed. Hip measurement should be taken over one layer of light clothing only.</w:t>
            </w:r>
          </w:p>
          <w:p>
            <w:pPr>
              <w:spacing w:after="160"/>
            </w:pPr>
            <w:r>
              <w:rPr>
                <w:rStyle w:val="row-content-rich-text"/>
              </w:rPr>
              <w:t xml:space="preserve">The subject stands erect with arms at the sides, feet together and the gluteal muscles relaxed. The measurer sits at the side of the subject so that the level of maximum posterior extension of the buttocks can be seen. An inelastic tape is placed around the buttocks in a horizontal plane.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 The tape is in contact with the skin but does not compress the soft tissues. Fatty aprons should be excluded from the hip circumference measurement.</w:t>
            </w:r>
          </w:p>
          <w:p>
            <w:pPr>
              <w:spacing w:after="160"/>
            </w:pPr>
            <w:r>
              <w:rPr>
                <w:rStyle w:val="row-content-rich-text"/>
              </w:rPr>
              <w:t xml:space="preserve">The measurement is recorded to the nearest 0.1 cm. Take a repeat measurement and record it to the nearest 0.1 cm. If the two measurements disagree by more than 1 cm, then take a third measurement.</w:t>
            </w:r>
          </w:p>
          <w:p>
            <w:pPr>
              <w:spacing w:after="160"/>
            </w:pPr>
            <w:r>
              <w:rPr>
                <w:rStyle w:val="row-content-rich-text"/>
              </w:rPr>
              <w:t xml:space="preserve">All raw measurements should be recorded on the data collection form. If practical, it is preferable to enter the raw data into the database as this enables intra-observer and, where relevant, inter-observer errors to be assessed. The subject's measured hip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For example, a mean value of 102.25 cm would be rounded to 102.2 cm, while a mean value of 102.35 cm would be rounded to 102.4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hip circumference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18 years or older. It is recommended for use in population surveys and health care settings.</w:t>
            </w:r>
          </w:p>
          <w:p>
            <w:pPr>
              <w:spacing w:after="160"/>
            </w:pPr>
            <w:r>
              <w:rPr>
                <w:rStyle w:val="row-content-rich-text"/>
              </w:rPr>
              <w:t xml:space="preserve">Its main use is to enable the calculation of adult waist-to-hip ratio which requires the measurement of hip circumference and waist circumference.</w:t>
            </w:r>
          </w:p>
          <w:p>
            <w:pPr>
              <w:spacing w:after="160"/>
            </w:pPr>
            <w:r>
              <w:rPr>
                <w:rStyle w:val="row-content-rich-text"/>
              </w:rPr>
              <w:t xml:space="preserve">More recently it has emerged that waist circumference alone, or in combination with other metabolic measures, is a better indicator of risk and reduces the errors in waist-to-hip ratio measurements.</w:t>
            </w:r>
          </w:p>
          <w:p>
            <w:pPr>
              <w:spacing w:after="160"/>
            </w:pPr>
            <w:r>
              <w:rPr>
                <w:rStyle w:val="row-content-rich-text"/>
              </w:rPr>
              <w:t xml:space="preserve">Waist-to-hip ratio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r>
              <w:rPr>
                <w:rStyle w:val="row-content-rich-text"/>
              </w:rPr>
              <w:t xml:space="preserve">For some reporting purposes, it may be desirable to present hip circumference data in categories. It is recommended that 5 cm groupings be used for this purpose. Hip circumference data should not be rounded before categorisation.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0bee0db3bd14d9e">
              <w:r>
                <w:rPr>
                  <w:rStyle w:val="Hyperlink"/>
                </w:rPr>
                <w:t xml:space="preserve">Adult—waist-to-hip ratio, N.NN</w:t>
              </w:r>
            </w:hyperlink>
          </w:p>
          <w:p>
            <w:pPr>
              <w:pStyle w:val="registration-status"/>
              <w:spacing w:before="0" w:after="0"/>
            </w:pPr>
            <w:hyperlink w:history="true" r:id="Rf7dd2f736e7844c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130d61e0d6a241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0d61e0d6a241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e19e4f9b3f4519"/>
                            <a:srcRect/>
                            <a:stretch>
                              <a:fillRect/>
                            </a:stretch>
                          </pic:blipFill>
                          <pic:spPr bwMode="auto">
                            <a:xfrm>
                              <a:off x="0" y="0"/>
                              <a:ext cx="152400" cy="152400"/>
                            </a:xfrm>
                            <a:prstGeom prst="rect">
                              <a:avLst/>
                            </a:prstGeom>
                          </pic:spPr>
                        </pic:pic>
                      </a:graphicData>
                    </a:graphic>
                  </wp:inline>
                </w:drawing>
              </w:r>
              <w:r>
                <w:rPr>
                  <w:rStyle w:val="Hyperlink"/>
                </w:rPr>
                <w:t xml:space="preserve"> Hip circumference - measured, version 2, DE, NHDD, NHIMG, Superseded 01/03/2005.pdf</w:t>
              </w:r>
            </w:hyperlink>
          </w:p>
          <w:p>
            <w:r>
              <w:rPr>
                <w:rStyle w:val="row-content"/>
              </w:rPr>
              <w:t xml:space="preserve"> (23.1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f5414d514fd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4db67ab01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414d514fd4c19" /><Relationship Type="http://schemas.openxmlformats.org/officeDocument/2006/relationships/header" Target="/word/header1.xml" Id="R2f31add2ec07490a" /><Relationship Type="http://schemas.openxmlformats.org/officeDocument/2006/relationships/settings" Target="/word/settings.xml" Id="R484e95ee0ba4492f" /><Relationship Type="http://schemas.openxmlformats.org/officeDocument/2006/relationships/styles" Target="/word/styles.xml" Id="Ra703eeaff09a4023" /><Relationship Type="http://schemas.openxmlformats.org/officeDocument/2006/relationships/image" Target="/media/image.gif" Id="R88e19e4f9b3f4519" /><Relationship Type="http://schemas.openxmlformats.org/officeDocument/2006/relationships/hyperlink" Target="https://meteor.aihw.gov.au/RegistrationAuthority/12" TargetMode="External" Id="R9f24dc7f552f41d2" /><Relationship Type="http://schemas.openxmlformats.org/officeDocument/2006/relationships/hyperlink" Target="https://meteor.aihw.gov.au/content/269796" TargetMode="External" Id="Rd4dcc0b04a534494" /><Relationship Type="http://schemas.openxmlformats.org/officeDocument/2006/relationships/hyperlink" Target="https://meteor.aihw.gov.au/content/270714" TargetMode="External" Id="R8e86e8e294434d2b" /><Relationship Type="http://schemas.openxmlformats.org/officeDocument/2006/relationships/hyperlink" Target="https://meteor.aihw.gov.au/content/270207" TargetMode="External" Id="R30bee0db3bd14d9e" /><Relationship Type="http://schemas.openxmlformats.org/officeDocument/2006/relationships/hyperlink" Target="https://meteor.aihw.gov.au/RegistrationAuthority/12" TargetMode="External" Id="Rf7dd2f736e7844cc" /><Relationship Type="http://schemas.openxmlformats.org/officeDocument/2006/relationships/hyperlink" Target="https://meteor.aihw.gov.au/content/273865" TargetMode="External" Id="R130d61e0d6a24161" /></Relationships>
</file>

<file path=word/_rels/header1.xml.rels>&#65279;<?xml version="1.0" encoding="utf-8"?><Relationships xmlns="http://schemas.openxmlformats.org/package/2006/relationships"><Relationship Type="http://schemas.openxmlformats.org/officeDocument/2006/relationships/image" Target="/media/image.png" Id="R2c54db67ab014d32" /></Relationships>
</file>