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3aa1bccbd5e4084" /></Relationships>
</file>

<file path=word/document.xml><?xml version="1.0" encoding="utf-8"?>
<w:document xmlns:r="http://schemas.openxmlformats.org/officeDocument/2006/relationships" xmlns:w="http://schemas.openxmlformats.org/wordprocessingml/2006/main">
  <w:body>
    <w:p>
      <w:pPr>
        <w:pStyle w:val="Title"/>
      </w:pPr>
      <w:r>
        <w:t>Person—ophthalmological assessment outcome (right retina) (last 12 months),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Person—ophthalmological assessment outcome (right retina) (last 12 months),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Ophthalmological assessment—outcome (right retina)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270363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3855e8f4a5d4fe4">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result of an ophthalmological assessment for the right retina during the last 12 months,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0935d904e434a9a">
              <w:r>
                <w:rPr>
                  <w:rStyle w:val="Hyperlink"/>
                </w:rPr>
                <w:t xml:space="preserve">Person—ophthalmological assessment outcome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f1a49a0b6fd42ef">
              <w:r>
                <w:rPr>
                  <w:rStyle w:val="Hyperlink"/>
                </w:rPr>
                <w:t xml:space="preserve">Ophthalmological assessment outcome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Normal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Diabetes abnormality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Non-diabetes abnormality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Not visualised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is a repeating record of both eyes.</w:t>
            </w:r>
          </w:p>
          <w:p>
            <w:pPr>
              <w:spacing w:after="160"/>
            </w:pPr>
            <w:r>
              <w:rPr>
                <w:rStyle w:val="row-content-rich-text"/>
              </w:rPr>
              <w:t xml:space="preserve">1st field - Right retina</w:t>
            </w:r>
          </w:p>
          <w:p>
            <w:pPr>
              <w:spacing w:after="160"/>
            </w:pPr>
            <w:r>
              <w:rPr>
                <w:rStyle w:val="row-content-rich-text"/>
              </w:rPr>
              <w:t xml:space="preserve">2nd field - Left retina</w:t>
            </w:r>
          </w:p>
          <w:p>
            <w:pPr>
              <w:spacing w:after="160"/>
            </w:pPr>
            <w:r>
              <w:rPr>
                <w:rStyle w:val="row-content-rich-text"/>
              </w:rPr>
              <w:t xml:space="preserve">Record the result of the fundus examination for each eye as: Normal/ Diabetes abnormality/ Non-diabetes abnormality/ or Not visualised.</w:t>
            </w:r>
          </w:p>
          <w:p>
            <w:pPr>
              <w:spacing w:after="160"/>
            </w:pPr>
            <w:r>
              <w:rPr>
                <w:rStyle w:val="row-content-rich-text"/>
              </w:rPr>
              <w:t xml:space="preserve">Example:</w:t>
            </w:r>
          </w:p>
          <w:p>
            <w:pPr>
              <w:pStyle w:val="ListParagraph"/>
              <w:numPr>
                <w:ilvl w:val="0"/>
                <w:numId w:val="2"/>
              </w:numPr>
            </w:pPr>
            <w:r>
              <w:rPr>
                <w:rStyle w:val="row-content-rich-text"/>
              </w:rPr>
              <w:t xml:space="preserve">code 12 for right retina Normal and left retina Diabetes abnormality</w:t>
            </w:r>
          </w:p>
          <w:p>
            <w:pPr>
              <w:pStyle w:val="ListParagraph"/>
              <w:numPr>
                <w:ilvl w:val="0"/>
                <w:numId w:val="2"/>
              </w:numPr>
            </w:pPr>
            <w:r>
              <w:rPr>
                <w:rStyle w:val="row-content-rich-text"/>
              </w:rPr>
              <w:t xml:space="preserve">code 32 for right retina Non-diabetes abnormality and left retina Diabetes abnormality</w:t>
            </w:r>
          </w:p>
          <w:p>
            <w:pPr/>
            <w:r>
              <w:rPr>
                <w:rStyle w:val="row-content-rich-text"/>
              </w:rPr>
              <w:t xml:space="preserve">Only the result of an assessment carried out in the last 12 months should be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Ophthalmological assessment should be performed by an ophthalmologist or a suitably trained clinician.</w:t>
            </w:r>
          </w:p>
          <w:p>
            <w:pPr>
              <w:spacing w:after="160"/>
            </w:pPr>
            <w:r>
              <w:rPr>
                <w:rStyle w:val="row-content-rich-text"/>
              </w:rPr>
              <w:t xml:space="preserve">A comprehensive ophthalmological examination includes:</w:t>
            </w:r>
          </w:p>
          <w:p>
            <w:pPr>
              <w:pStyle w:val="ListParagraph"/>
              <w:numPr>
                <w:ilvl w:val="0"/>
                <w:numId w:val="3"/>
              </w:numPr>
            </w:pPr>
            <w:r>
              <w:rPr>
                <w:rStyle w:val="row-content-rich-text"/>
              </w:rPr>
              <w:t xml:space="preserve">Checking visual acuity with Snellen chart - correct with pinhole if indicated;</w:t>
            </w:r>
          </w:p>
          <w:p>
            <w:pPr>
              <w:pStyle w:val="ListParagraph"/>
              <w:numPr>
                <w:ilvl w:val="0"/>
                <w:numId w:val="3"/>
              </w:numPr>
            </w:pPr>
            <w:r>
              <w:rPr>
                <w:rStyle w:val="row-content-rich-text"/>
              </w:rPr>
              <w:t xml:space="preserve">Examination for cataract;</w:t>
            </w:r>
          </w:p>
          <w:p>
            <w:pPr>
              <w:pStyle w:val="ListParagraph"/>
              <w:numPr>
                <w:ilvl w:val="0"/>
                <w:numId w:val="3"/>
              </w:numPr>
            </w:pPr>
            <w:r>
              <w:rPr>
                <w:rStyle w:val="row-content-rich-text"/>
              </w:rPr>
              <w:t xml:space="preserve">Examination of fundi with pupils dilated.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Diabetes Outcomes Quality Review Initiative (NDOQRIN) data dictionary.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0084b78470554586">
              <w:r>
                <w:drawing>
                  <wp:inline xmlns:wp="http://schemas.openxmlformats.org/drawingml/2006/wordprocessingDrawing" distT="0" distB="0" distL="0" distR="0">
                    <wp:extent cx="152400" cy="152400"/>
                    <wp:effectExtent l="19050" t="0" r="0" b="0"/>
                    <wp:docPr id="2" name="Picture 2" descr="">
                      <a:hlinkClick xmlns:a="http://schemas.openxmlformats.org/drawingml/2006/main" r:id="R0084b78470554586"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f266cada0c2d4b26"/>
                            <a:srcRect/>
                            <a:stretch>
                              <a:fillRect/>
                            </a:stretch>
                          </pic:blipFill>
                          <pic:spPr bwMode="auto">
                            <a:xfrm>
                              <a:off x="0" y="0"/>
                              <a:ext cx="152400" cy="152400"/>
                            </a:xfrm>
                            <a:prstGeom prst="rect">
                              <a:avLst/>
                            </a:prstGeom>
                          </pic:spPr>
                        </pic:pic>
                      </a:graphicData>
                    </a:graphic>
                  </wp:inline>
                </w:drawing>
              </w:r>
              <w:r>
                <w:rPr>
                  <w:rStyle w:val="Hyperlink"/>
                </w:rPr>
                <w:t xml:space="preserve"> Ophthalmological assessment - outcome, version 1, DE, NHDD, NHIMG, Superseded 01/03/2005.pdf</w:t>
              </w:r>
            </w:hyperlink>
          </w:p>
          <w:p>
            <w:r>
              <w:rPr>
                <w:rStyle w:val="row-content"/>
              </w:rPr>
              <w:t xml:space="preserve"> (18.5 KB)</w:t>
            </w:r>
          </w:p>
          <w:p>
            <w:pPr>
              <w:spacing w:before="0" w:after="0"/>
            </w:pPr>
            <w:r>
              <w:rPr>
                <w:rStyle w:val="row-content"/>
              </w:rPr>
              <w:t xml:space="preserve">       </w:t>
            </w:r>
            <w:r>
              <w:rPr>
                <w:rStyle w:val="row-content"/>
                <w:i/>
                <w:color w:val="244061"/>
              </w:rPr>
              <w:t xml:space="preserve">No registration status</w:t>
            </w:r>
          </w:p>
          <w:p>
            <w:r>
              <w:br/>
            </w:r>
            <w:r>
              <w:rPr>
                <w:rStyle w:val="row-content"/>
              </w:rPr>
              <w:t xml:space="preserve">See also </w:t>
            </w:r>
            <w:hyperlink w:history="true" r:id="R804f61f55ca34ac8">
              <w:r>
                <w:rPr>
                  <w:rStyle w:val="Hyperlink"/>
                </w:rPr>
                <w:t xml:space="preserve">Person—ophthalmological assessment outcome (left retina) (last 12 months), code N</w:t>
              </w:r>
            </w:hyperlink>
          </w:p>
          <w:p>
            <w:pPr>
              <w:spacing w:before="0" w:after="0"/>
            </w:pPr>
            <w:r>
              <w:rPr>
                <w:rStyle w:val="row-content"/>
                <w:color w:val="244061"/>
              </w:rPr>
              <w:t xml:space="preserve">       </w:t>
            </w:r>
            <w:hyperlink w:history="true" r:id="Rbfaf208104d447ad">
              <w:r>
                <w:rPr>
                  <w:rStyle w:val="Hyperlink"/>
                  <w:color w:val="244061"/>
                </w:rPr>
                <w:t xml:space="preserve">Health</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357052b2dde49b0">
              <w:r>
                <w:rPr>
                  <w:rStyle w:val="Hyperlink"/>
                </w:rPr>
                <w:t xml:space="preserve">Diabetes (clinical) DSS</w:t>
              </w:r>
            </w:hyperlink>
          </w:p>
          <w:p>
            <w:pPr>
              <w:spacing w:before="0" w:after="0"/>
            </w:pPr>
            <w:r>
              <w:rPr>
                <w:rStyle w:val="row-content"/>
                <w:color w:val="244061"/>
              </w:rPr>
              <w:t xml:space="preserve">       </w:t>
            </w:r>
            <w:hyperlink w:history="true" r:id="R55153498b9c04cdd">
              <w:r>
                <w:rPr>
                  <w:rStyle w:val="Hyperlink"/>
                  <w:color w:val="244061"/>
                </w:rPr>
                <w:t xml:space="preserve">Health</w:t>
              </w:r>
            </w:hyperlink>
            <w:r>
              <w:rPr>
                <w:rStyle w:val="row-content"/>
                <w:color w:val="244061"/>
              </w:rPr>
              <w:t xml:space="preserve">, Superseded 21/09/2005</w:t>
            </w:r>
          </w:p>
          <w:p>
            <w:r>
              <w:rPr>
                <w:rStyle w:val="row-content"/>
                <w:b/>
                <w:i/>
              </w:rPr>
              <w:t xml:space="preserve">DSS specific information: </w:t>
            </w:r>
          </w:p>
          <w:p>
            <w:r>
              <w:rPr>
                <w:rStyle w:val="row-content"/>
              </w:rPr>
              <w:t xml:space="preserve">Patients with diabetes have increased risk of developing several eye complications including retinopathy, cataract and glaucoma that lead to loss of vision.</w:t>
            </w:r>
          </w:p>
          <w:p>
            <w:r>
              <w:rPr>
                <w:rStyle w:val="row-content"/>
              </w:rPr>
              <w:t xml:space="preserve">Many diabetes eye related problems are asymptomatic and require appropriate eye assessment to be detected. Regular eye checkup is important for patients suffering from diabetes mellitus. This helps to early detect abnormalities and to avoid or postpone complications and prevent blindness in people with diabetes.</w:t>
            </w:r>
          </w:p>
          <w:p>
            <w:r>
              <w:rPr>
                <w:rStyle w:val="row-content"/>
              </w:rPr>
              <w:t xml:space="preserve">According to Principles of Care and Guidelines for the Clinical Management of Diabetes Mellitus a comprehensive ophthalmological examination should be carried out:</w:t>
            </w:r>
          </w:p>
          <w:p>
            <w:pPr>
              <w:pStyle w:val="ListParagraph"/>
              <w:numPr>
                <w:ilvl w:val="0"/>
                <w:numId w:val="4"/>
              </w:numPr>
            </w:pPr>
            <w:r>
              <w:rPr>
                <w:rStyle w:val="row-content"/>
              </w:rPr>
              <w:t xml:space="preserve">at diagnosis and then every 1-2 years for patients whose diabetes onset was at age 30 years or more, </w:t>
            </w:r>
          </w:p>
          <w:p>
            <w:pPr>
              <w:pStyle w:val="ListParagraph"/>
              <w:numPr>
                <w:ilvl w:val="0"/>
                <w:numId w:val="4"/>
              </w:numPr>
            </w:pPr>
            <w:r>
              <w:rPr>
                <w:rStyle w:val="row-content"/>
              </w:rPr>
              <w:t xml:space="preserve">within five years of diagnosis and then every 1-2 years for patients whose diabetes onset was at age less than 30 years. </w:t>
            </w:r>
          </w:p>
          <w:p>
            <w:r>
              <w:rPr>
                <w:rStyle w:val="row-content"/>
              </w:rPr>
              <w:t xml:space="preserve">Assessment by an ophthalmologist is essential:</w:t>
            </w:r>
          </w:p>
          <w:p>
            <w:pPr>
              <w:pStyle w:val="ListParagraph"/>
              <w:numPr>
                <w:ilvl w:val="0"/>
                <w:numId w:val="5"/>
              </w:numPr>
            </w:pPr>
            <w:r>
              <w:rPr>
                <w:rStyle w:val="row-content"/>
              </w:rPr>
              <w:t xml:space="preserve">at initial examination if the corrected visual acuity is less than 6/6 in either eye; </w:t>
            </w:r>
          </w:p>
          <w:p>
            <w:pPr>
              <w:pStyle w:val="ListParagraph"/>
              <w:numPr>
                <w:ilvl w:val="0"/>
                <w:numId w:val="5"/>
              </w:numPr>
            </w:pPr>
            <w:r>
              <w:rPr>
                <w:rStyle w:val="row-content"/>
              </w:rPr>
              <w:t xml:space="preserve">at subsequent examinations if declining visual acuity is detected </w:t>
            </w:r>
          </w:p>
          <w:p>
            <w:pPr>
              <w:pStyle w:val="ListParagraph"/>
              <w:numPr>
                <w:ilvl w:val="0"/>
                <w:numId w:val="5"/>
              </w:numPr>
            </w:pPr>
            <w:r>
              <w:rPr>
                <w:rStyle w:val="row-content"/>
              </w:rPr>
              <w:t xml:space="preserve">if any retinal abnormality is detected; </w:t>
            </w:r>
          </w:p>
          <w:p>
            <w:pPr>
              <w:pStyle w:val="ListParagraph"/>
              <w:numPr>
                <w:ilvl w:val="0"/>
                <w:numId w:val="5"/>
              </w:numPr>
            </w:pPr>
            <w:r>
              <w:rPr>
                <w:rStyle w:val="row-content"/>
              </w:rPr>
              <w:t xml:space="preserve">if clear view of retina is not obtained.</w:t>
            </w:r>
          </w:p>
          <w:p>
            <w:r>
              <w:rPr>
                <w:rStyle w:val="row-content"/>
              </w:rPr>
              <w:t xml:space="preserve">References:</w:t>
            </w:r>
          </w:p>
          <w:p>
            <w:r>
              <w:rPr>
                <w:rStyle w:val="row-content"/>
                <w:i/>
              </w:rPr>
              <w:t xml:space="preserve">Vision Australia, No 2, 1997/8; University of Melbourne. </w:t>
            </w:r>
          </w:p>
          <w:p>
            <w:r>
              <w:rPr>
                <w:rStyle w:val="row-content"/>
                <w:i/>
              </w:rPr>
              <w:t xml:space="preserve">Diabetes Control and Complications Trial: DCCT New England Journal of Medicine, 329(14), September 30, 1993. </w:t>
            </w:r>
          </w:p>
          <w:p>
            <w:r>
              <w:rPr>
                <w:rStyle w:val="row-content"/>
                <w:i/>
              </w:rPr>
              <w:t xml:space="preserve">US National Eye Institute.</w:t>
            </w:r>
          </w:p>
          <w:p>
            <w:r>
              <w:br/>
            </w:r>
            <w:r>
              <w:br/>
            </w:r>
            <w:hyperlink w:history="true" r:id="R490f0b06819742f7">
              <w:r>
                <w:rPr>
                  <w:rStyle w:val="Hyperlink"/>
                </w:rPr>
                <w:t xml:space="preserve">Diabetes (clinical) NBPDS</w:t>
              </w:r>
            </w:hyperlink>
          </w:p>
          <w:p>
            <w:pPr>
              <w:spacing w:before="0" w:after="0"/>
            </w:pPr>
            <w:r>
              <w:rPr>
                <w:rStyle w:val="row-content"/>
                <w:color w:val="244061"/>
              </w:rPr>
              <w:t xml:space="preserve">       </w:t>
            </w:r>
            <w:hyperlink w:history="true" r:id="R77be50d764454573">
              <w:r>
                <w:rPr>
                  <w:rStyle w:val="Hyperlink"/>
                  <w:color w:val="244061"/>
                </w:rPr>
                <w:t xml:space="preserve">Health</w:t>
              </w:r>
            </w:hyperlink>
            <w:r>
              <w:rPr>
                <w:rStyle w:val="row-content"/>
                <w:color w:val="244061"/>
              </w:rPr>
              <w:t xml:space="preserve">, Standard 21/09/2005</w:t>
            </w:r>
          </w:p>
          <w:p>
            <w:r>
              <w:rPr>
                <w:rStyle w:val="row-content"/>
                <w:b/>
                <w:i/>
              </w:rPr>
              <w:t xml:space="preserve">DSS specific information: </w:t>
            </w:r>
          </w:p>
          <w:p>
            <w:r>
              <w:rPr>
                <w:rStyle w:val="row-content"/>
              </w:rPr>
              <w:t xml:space="preserve">Patients with diabetes have increased risk of developing several eye complications including retinopathy, cataract and glaucoma that lead to loss of vision.</w:t>
            </w:r>
          </w:p>
          <w:p>
            <w:r>
              <w:rPr>
                <w:rStyle w:val="row-content"/>
              </w:rPr>
              <w:t xml:space="preserve">Many diabetes eye related problems are asymptomatic and require appropriate eye assessment to be detected. Regular eye checkup is important for patients suffering from diabetes mellitus. This helps to early detect abnormalities and to avoid or postpone complications and prevent blindness in people with diabetes.</w:t>
            </w:r>
          </w:p>
          <w:p>
            <w:r>
              <w:rPr>
                <w:rStyle w:val="row-content"/>
              </w:rPr>
              <w:t xml:space="preserve">According to Principles of Care and Guidelines for the Clinical Management of Diabetes Mellitus a comprehensive ophthalmological examination should be carried out:</w:t>
            </w:r>
          </w:p>
          <w:p>
            <w:pPr>
              <w:pStyle w:val="ListParagraph"/>
              <w:numPr>
                <w:ilvl w:val="0"/>
                <w:numId w:val="6"/>
              </w:numPr>
            </w:pPr>
            <w:r>
              <w:rPr>
                <w:rStyle w:val="row-content"/>
              </w:rPr>
              <w:t xml:space="preserve">at diagnosis and then every 1-2 years for patients whose diabetes onset was at age 30 years or more,</w:t>
            </w:r>
          </w:p>
          <w:p>
            <w:pPr>
              <w:pStyle w:val="ListParagraph"/>
              <w:numPr>
                <w:ilvl w:val="0"/>
                <w:numId w:val="6"/>
              </w:numPr>
            </w:pPr>
            <w:r>
              <w:rPr>
                <w:rStyle w:val="row-content"/>
              </w:rPr>
              <w:t xml:space="preserve">within five years of diagnosis and then every 1-2 years for patients whose diabetes onset was at age less than 30 years.</w:t>
            </w:r>
          </w:p>
          <w:p>
            <w:r>
              <w:rPr>
                <w:rStyle w:val="row-content"/>
              </w:rPr>
              <w:t xml:space="preserve">Assessment by an ophthalmologist is essential:</w:t>
            </w:r>
          </w:p>
          <w:p>
            <w:pPr>
              <w:pStyle w:val="ListParagraph"/>
              <w:numPr>
                <w:ilvl w:val="0"/>
                <w:numId w:val="7"/>
              </w:numPr>
            </w:pPr>
            <w:r>
              <w:rPr>
                <w:rStyle w:val="row-content"/>
              </w:rPr>
              <w:t xml:space="preserve">at initial examination if the corrected visual acuity is less than 6/6 in either eye;</w:t>
            </w:r>
          </w:p>
          <w:p>
            <w:pPr>
              <w:pStyle w:val="ListParagraph"/>
              <w:numPr>
                <w:ilvl w:val="0"/>
                <w:numId w:val="7"/>
              </w:numPr>
            </w:pPr>
            <w:r>
              <w:rPr>
                <w:rStyle w:val="row-content"/>
              </w:rPr>
              <w:t xml:space="preserve">at subsequent examinations if declining visual acuity is detected</w:t>
            </w:r>
          </w:p>
          <w:p>
            <w:pPr>
              <w:pStyle w:val="ListParagraph"/>
              <w:numPr>
                <w:ilvl w:val="0"/>
                <w:numId w:val="7"/>
              </w:numPr>
            </w:pPr>
            <w:r>
              <w:rPr>
                <w:rStyle w:val="row-content"/>
              </w:rPr>
              <w:t xml:space="preserve">if any retinal abnormality is detected;</w:t>
            </w:r>
          </w:p>
          <w:p>
            <w:pPr>
              <w:pStyle w:val="ListParagraph"/>
              <w:numPr>
                <w:ilvl w:val="0"/>
                <w:numId w:val="7"/>
              </w:numPr>
            </w:pPr>
            <w:r>
              <w:rPr>
                <w:rStyle w:val="row-content"/>
              </w:rPr>
              <w:t xml:space="preserve">if clear view of retina is not obtained.</w:t>
            </w:r>
          </w:p>
          <w:p>
            <w:r>
              <w:rPr>
                <w:rStyle w:val="row-content"/>
              </w:rPr>
              <w:t xml:space="preserve">References:</w:t>
            </w:r>
          </w:p>
          <w:p>
            <w:r>
              <w:rPr>
                <w:rStyle w:val="row-content"/>
                <w:i/>
              </w:rPr>
              <w:t xml:space="preserve">Vision Australia, No 2, 1997/8; University of Melbourne. </w:t>
            </w:r>
          </w:p>
          <w:p>
            <w:r>
              <w:rPr>
                <w:rStyle w:val="row-content"/>
                <w:i/>
              </w:rPr>
              <w:t xml:space="preserve">Diabetes Control and Complications Trial: DCCT New England Journal of Medicine, 329(14), September 30, 1993. </w:t>
            </w:r>
          </w:p>
          <w:p>
            <w:r>
              <w:rPr>
                <w:rStyle w:val="row-content"/>
                <w:i/>
              </w:rPr>
              <w:t xml:space="preserve">US National Eye Institute.</w:t>
            </w:r>
          </w:p>
          <w:p>
            <w:r>
              <w:br/>
            </w:r>
            <w:r>
              <w:br/>
            </w:r>
          </w:p>
        </w:tc>
      </w:tr>
    </w:tbl>
    <w:p/>
    <w:tbl>
      <w:tblPr>
        <w:tblStyle w:val="TableGrid"/>
        <w:tblW w:w="0" w:type="auto"/>
      </w:tblPr>
    </w:tbl>
    <w:p>
      <w:r>
        <w:br/>
      </w:r>
    </w:p>
    <w:sectPr>
      <w:footerReference xmlns:r="http://schemas.openxmlformats.org/officeDocument/2006/relationships" w:type="default" r:id="R6d4bd8223dd94fa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270363</w:t>
    </w:r>
    <w:r>
      <w:ptab w:alignment="right" w:relativeTo="margin" w:leader="none"/>
    </w:r>
    <w:r>
      <w:t xml:space="preserve">Page </w:t>
    </w:r>
    <w:fldSimple w:instr="PAGE"/>
    <w:r>
      <w:t xml:space="preserve"> of </w:t>
    </w:r>
    <w:fldSimple w:instr="NUMPAGES"/>
    <w:r>
      <w:ptab w:alignment="left" w:relativeTo="margin" w:leader="none"/>
    </w:r>
    <w:r>
      <w:t>Downloaded 15-May-2024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0b0b4123a994e5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d4bd8223dd94fa1" /><Relationship Type="http://schemas.openxmlformats.org/officeDocument/2006/relationships/header" Target="/word/header1.xml" Id="R8e88ad7c1f49487e" /><Relationship Type="http://schemas.openxmlformats.org/officeDocument/2006/relationships/settings" Target="/word/settings.xml" Id="R82e4c5ca6c5b4f61" /><Relationship Type="http://schemas.openxmlformats.org/officeDocument/2006/relationships/styles" Target="/word/styles.xml" Id="R757dcd9aad75456c" /><Relationship Type="http://schemas.openxmlformats.org/officeDocument/2006/relationships/hyperlink" Target="https://meteor.aihw.gov.au/RegistrationAuthority/12" TargetMode="External" Id="R73855e8f4a5d4fe4" /><Relationship Type="http://schemas.openxmlformats.org/officeDocument/2006/relationships/hyperlink" Target="https://meteor.aihw.gov.au/content/269794" TargetMode="External" Id="Re0935d904e434a9a" /><Relationship Type="http://schemas.openxmlformats.org/officeDocument/2006/relationships/hyperlink" Target="https://meteor.aihw.gov.au/content/270869" TargetMode="External" Id="Rdf1a49a0b6fd42ef" /><Relationship Type="http://schemas.openxmlformats.org/officeDocument/2006/relationships/numbering" Target="/word/numbering.xml" Id="R3ff30caa880c4f70" /><Relationship Type="http://schemas.openxmlformats.org/officeDocument/2006/relationships/hyperlink" Target="https://meteor.aihw.gov.au/content/273881" TargetMode="External" Id="R0084b78470554586" /><Relationship Type="http://schemas.openxmlformats.org/officeDocument/2006/relationships/image" Target="/media/image.gif" Id="Rf266cada0c2d4b26" /><Relationship Type="http://schemas.openxmlformats.org/officeDocument/2006/relationships/hyperlink" Target="https://meteor.aihw.gov.au/content/270472" TargetMode="External" Id="R804f61f55ca34ac8" /><Relationship Type="http://schemas.openxmlformats.org/officeDocument/2006/relationships/hyperlink" Target="https://meteor.aihw.gov.au/RegistrationAuthority/12" TargetMode="External" Id="Rbfaf208104d447ad" /><Relationship Type="http://schemas.openxmlformats.org/officeDocument/2006/relationships/hyperlink" Target="https://meteor.aihw.gov.au/content/273054" TargetMode="External" Id="Ra357052b2dde49b0" /><Relationship Type="http://schemas.openxmlformats.org/officeDocument/2006/relationships/hyperlink" Target="https://meteor.aihw.gov.au/RegistrationAuthority/12" TargetMode="External" Id="R55153498b9c04cdd" /><Relationship Type="http://schemas.openxmlformats.org/officeDocument/2006/relationships/hyperlink" Target="https://meteor.aihw.gov.au/content/304865" TargetMode="External" Id="R490f0b06819742f7" /><Relationship Type="http://schemas.openxmlformats.org/officeDocument/2006/relationships/hyperlink" Target="https://meteor.aihw.gov.au/RegistrationAuthority/12" TargetMode="External" Id="R77be50d764454573" /></Relationships>
</file>

<file path=word/_rels/header1.xml.rels>&#65279;<?xml version="1.0" encoding="utf-8"?><Relationships xmlns="http://schemas.openxmlformats.org/package/2006/relationships"><Relationship Type="http://schemas.openxmlformats.org/officeDocument/2006/relationships/image" Target="/media/image.png" Id="R80b0b4123a994e52" /></Relationships>
</file>