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b9b55132744c31" /></Relationships>
</file>

<file path=word/document.xml><?xml version="1.0" encoding="utf-8"?>
<w:document xmlns:r="http://schemas.openxmlformats.org/officeDocument/2006/relationships" xmlns:w="http://schemas.openxmlformats.org/wordprocessingml/2006/main">
  <w:body>
    <w:p>
      <w:pPr>
        <w:pStyle w:val="Title"/>
      </w:pPr>
      <w:r>
        <w:t>Person—time since quitting tobacco smoking (daily smoking),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Person—time since quitting tobacco smoking (daily smoking),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smoking—time since quitting (daily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f6f92a966249b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since a person most recently quit daily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7d9ea677704d7f">
              <w:r>
                <w:rPr>
                  <w:rStyle w:val="Hyperlink"/>
                </w:rPr>
                <w:t xml:space="preserve">Person—time since quitting tobacco smoking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95c797c28046e0">
              <w:r>
                <w:rPr>
                  <w:rStyle w:val="Hyperlink"/>
                </w:rPr>
                <w:t xml:space="preserve">Time since quitting smoking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12 months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2 years etc. to 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79+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    </w:t>
            </w:r>
          </w:p>
        </w:tc>
        <w:tc>
          <w:tcPr>
            <w:tcBorders>
              <w:top w:val="none" w:color="000000" w:sz="0"/>
              <w:left w:val="none" w:color="000000" w:sz="0"/>
              <w:bottom w:val="none" w:color="000000" w:sz="0"/>
              <w:right w:val="none" w:color="000000" w:sz="0"/>
            </w:tcBorders>
            <w:vAlign w:val="top"/>
          </w:tcPr>
          <w:p>
            <w:r>
              <w:t xml:space="preserve">Less than 1 month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 </w:t>
            </w:r>
          </w:p>
        </w:tc>
        <w:tc>
          <w:tcPr>
            <w:tcBorders>
              <w:top w:val="none" w:color="000000" w:sz="0"/>
              <w:left w:val="none" w:color="000000" w:sz="0"/>
              <w:bottom w:val="none" w:color="000000" w:sz="0"/>
              <w:right w:val="none" w:color="000000" w:sz="0"/>
            </w:tcBorders>
            <w:vAlign w:val="top"/>
          </w:tcPr>
          <w:p>
            <w:r>
              <w:t xml:space="preserve">1 month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   </w:t>
            </w:r>
          </w:p>
        </w:tc>
        <w:tc>
          <w:tcPr>
            <w:tcBorders>
              <w:top w:val="none" w:color="000000" w:sz="0"/>
              <w:left w:val="none" w:color="000000" w:sz="0"/>
              <w:bottom w:val="none" w:color="000000" w:sz="0"/>
              <w:right w:val="none" w:color="000000" w:sz="0"/>
            </w:tcBorders>
            <w:vAlign w:val="top"/>
          </w:tcPr>
          <w:p>
            <w:r>
              <w:t xml:space="preserve">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5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87</w:t>
            </w:r>
          </w:p>
        </w:tc>
        <w:tc>
          <w:tcPr>
            <w:tcBorders>
              <w:top w:val="none" w:color="000000" w:sz="0"/>
              <w:left w:val="none" w:color="000000" w:sz="0"/>
              <w:bottom w:val="none" w:color="000000" w:sz="0"/>
              <w:right w:val="none" w:color="000000" w:sz="0"/>
            </w:tcBorders>
            <w:vAlign w:val="top"/>
          </w:tcPr>
          <w:p>
            <w:r>
              <w:t xml:space="preserve">7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8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9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10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11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p>
        </w:tc>
        <w:tc>
          <w:tcPr>
            <w:tcBorders>
              <w:top w:val="none" w:color="000000" w:sz="0"/>
              <w:left w:val="none" w:color="000000" w:sz="0"/>
              <w:bottom w:val="none" w:color="000000" w:sz="0"/>
              <w:right w:val="none" w:color="000000" w:sz="0"/>
            </w:tcBorders>
            <w:vAlign w:val="top"/>
          </w:tcPr>
          <w:p>
            <w:r>
              <w:t xml:space="preserve">months,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93</w:t>
            </w:r>
          </w:p>
        </w:tc>
        <w:tc>
          <w:tcPr>
            <w:tcBorders>
              <w:top w:val="none" w:color="000000" w:sz="0"/>
              <w:left w:val="none" w:color="000000" w:sz="0"/>
              <w:bottom w:val="none" w:color="000000" w:sz="0"/>
              <w:right w:val="none" w:color="000000" w:sz="0"/>
            </w:tcBorders>
            <w:vAlign w:val="top"/>
          </w:tcPr>
          <w:p>
            <w:r>
              <w:t xml:space="preserve">years,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order to estimate time since quitting for all respondents, the person's date of birth or current age should also be collected.</w:t>
            </w:r>
          </w:p>
          <w:p>
            <w:pPr>
              <w:spacing w:after="160"/>
            </w:pPr>
            <w:r>
              <w:rPr>
                <w:rStyle w:val="row-content-rich-text"/>
              </w:rPr>
              <w:t xml:space="preserve">For optimal flexibility of use, the time since quitting is coded as months or years. However, people may report the time that they quit smoking in various ways (e.g. age, a date, or a number of days or weeks ago). When the information is reported in weeks and is less than 4, or in days and is less than 28, then code 80.</w:t>
            </w:r>
          </w:p>
          <w:p>
            <w:pPr>
              <w:spacing w:after="160"/>
            </w:pPr>
            <w:r>
              <w:rPr>
                <w:rStyle w:val="row-content-rich-text"/>
              </w:rPr>
              <w:t xml:space="preserve">When the person reports the time since quitting as weeks ago, convert into months by dividing by 4 (rounded down to the nearest month).</w:t>
            </w:r>
          </w:p>
          <w:p>
            <w:pPr>
              <w:spacing w:after="160"/>
            </w:pPr>
            <w:r>
              <w:rPr>
                <w:rStyle w:val="row-content-rich-text"/>
              </w:rPr>
              <w:t xml:space="preserve">If days reported are between 28 and 59, then code 81.</w:t>
            </w:r>
          </w:p>
          <w:p>
            <w:pPr/>
            <w:r>
              <w:rPr>
                <w:rStyle w:val="row-content-rich-text"/>
              </w:rPr>
              <w:t xml:space="preserve">Where the information is about age only, time since quitting (daily use) is the difference between quit-age and age at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(1998) - interviewer administered (Question 6) and self-administered (Question 3) versions.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 since quitting daily smoking may give an indication of improvement in the health risk profile of a person. It is also useful in evaluating health promotion campaigns.</w:t>
            </w:r>
          </w:p>
          <w:p>
            <w:pPr>
              <w:spacing w:after="160"/>
            </w:pP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5cea31b644274de4">
              <w:r>
                <w:rPr>
                  <w:rStyle w:val="Hyperlink"/>
                </w:rPr>
                <w:t xml:space="preserve">Person—tobacco smoking quit age (daily smoking), total years NN</w:t>
              </w:r>
            </w:hyperlink>
          </w:p>
          <w:p>
            <w:pPr>
              <w:pStyle w:val="registration-status"/>
              <w:spacing w:before="0" w:after="0"/>
            </w:pPr>
            <w:hyperlink w:history="true" r:id="Ra3c98dd087ce49fb">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4a178ff615374284">
              <w:r>
                <w:drawing>
                  <wp:inline xmlns:wp="http://schemas.openxmlformats.org/drawingml/2006/wordprocessingDrawing" distT="0" distB="0" distL="0" distR="0">
                    <wp:extent cx="152400" cy="152400"/>
                    <wp:effectExtent l="19050" t="0" r="0" b="0"/>
                    <wp:docPr id="2" name="Picture 2" descr="">
                      <a:hlinkClick xmlns:a="http://schemas.openxmlformats.org/drawingml/2006/main" r:id="R4a178ff61537428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6106f5f85849d2"/>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time since quitting (daily smoking), version 1, Derived DE, NHDD, NHIMG, Superseded 01/03/2005.pdf</w:t>
              </w:r>
            </w:hyperlink>
          </w:p>
          <w:p>
            <w:r>
              <w:rPr>
                <w:rStyle w:val="row-content"/>
              </w:rPr>
              <w:t xml:space="preserve"> (19.0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339ea8bb80241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648e1211624d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39ea8bb8024144" /><Relationship Type="http://schemas.openxmlformats.org/officeDocument/2006/relationships/header" Target="/word/header1.xml" Id="R1a3d0b89ec574879" /><Relationship Type="http://schemas.openxmlformats.org/officeDocument/2006/relationships/settings" Target="/word/settings.xml" Id="R4e95443f8a0c49f8" /><Relationship Type="http://schemas.openxmlformats.org/officeDocument/2006/relationships/styles" Target="/word/styles.xml" Id="R10529595f40e4675" /><Relationship Type="http://schemas.openxmlformats.org/officeDocument/2006/relationships/image" Target="/media/image.gif" Id="R156106f5f85849d2" /><Relationship Type="http://schemas.openxmlformats.org/officeDocument/2006/relationships/hyperlink" Target="https://meteor.aihw.gov.au/RegistrationAuthority/12" TargetMode="External" Id="R87f6f92a966249bb" /><Relationship Type="http://schemas.openxmlformats.org/officeDocument/2006/relationships/hyperlink" Target="https://meteor.aihw.gov.au/content/269749" TargetMode="External" Id="Rae7d9ea677704d7f" /><Relationship Type="http://schemas.openxmlformats.org/officeDocument/2006/relationships/hyperlink" Target="https://meteor.aihw.gov.au/content/270828" TargetMode="External" Id="R7295c797c28046e0" /><Relationship Type="http://schemas.openxmlformats.org/officeDocument/2006/relationships/hyperlink" Target="https://meteor.aihw.gov.au/content/270323" TargetMode="External" Id="R5cea31b644274de4" /><Relationship Type="http://schemas.openxmlformats.org/officeDocument/2006/relationships/hyperlink" Target="https://meteor.aihw.gov.au/RegistrationAuthority/12" TargetMode="External" Id="Ra3c98dd087ce49fb" /><Relationship Type="http://schemas.openxmlformats.org/officeDocument/2006/relationships/hyperlink" Target="https://meteor.aihw.gov.au/content/273386" TargetMode="External" Id="R4a178ff615374284" /></Relationships>
</file>

<file path=word/_rels/header1.xml.rels>&#65279;<?xml version="1.0" encoding="utf-8"?><Relationships xmlns="http://schemas.openxmlformats.org/package/2006/relationships"><Relationship Type="http://schemas.openxmlformats.org/officeDocument/2006/relationships/image" Target="/media/image.png" Id="R41648e1211624df4" /></Relationships>
</file>