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5c546f9172a4460" /></Relationships>
</file>

<file path=word/document.xml><?xml version="1.0" encoding="utf-8"?>
<w:document xmlns:r="http://schemas.openxmlformats.org/officeDocument/2006/relationships" xmlns:w="http://schemas.openxmlformats.org/wordprocessingml/2006/main">
  <w:body>
    <w:p>
      <w:pPr>
        <w:pStyle w:val="Title"/>
      </w:pPr>
      <w:r>
        <w:t>Household—tenure type,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Household—tenure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Tenure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Tenure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270352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54d114689944a1f">
              <w:r>
                <w:rPr>
                  <w:rStyle w:val="Hyperlink"/>
                  <w:color w:val="244061"/>
                </w:rPr>
                <w:t xml:space="preserve">Housing assistance</w:t>
              </w:r>
            </w:hyperlink>
            <w:r>
              <w:rPr>
                <w:rStyle w:val="row-content"/>
                <w:color w:val="244061"/>
              </w:rPr>
              <w:t xml:space="preserve">, Superseded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07c7f15632b488a">
              <w:r>
                <w:rPr>
                  <w:rStyle w:val="Hyperlink"/>
                </w:rPr>
                <w:t xml:space="preserve">Household—tenure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5b087559a9746de">
              <w:r>
                <w:rPr>
                  <w:rStyle w:val="Hyperlink"/>
                </w:rPr>
                <w:t xml:space="preserve">Tenure type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Owner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Fully owned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Being purchased/with mortgage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Renter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Private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Public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Community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Rent free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Life tenure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Shared equity or rent/buy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None/homeless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Tenure type of persons in caravans and manufactured homes is determined according to the tenure of the dwelling structure and not the land. Thus, a person who owns a caravan and rents a site in a caravan park is regarded as an owner.</w:t>
            </w:r>
          </w:p>
          <w:p>
            <w:pPr>
              <w:spacing w:after="160"/>
            </w:pPr>
            <w:r>
              <w:rPr>
                <w:rStyle w:val="row-content-rich-text"/>
                <w:b/>
              </w:rPr>
              <w:t xml:space="preserve">Code 1.1. Owner - fully owned:</w:t>
            </w:r>
            <w:r>
              <w:rPr>
                <w:rStyle w:val="row-content-rich-text"/>
              </w:rPr>
              <w:t xml:space="preserve"> Applies to persons who are not making any payments on mortgages or loans secured against the dwelling. (Thus persons who have repaid a loan but technically not discharged the associated mortgage are included in this category).</w:t>
            </w:r>
          </w:p>
          <w:p>
            <w:pPr>
              <w:spacing w:after="160"/>
            </w:pPr>
            <w:r>
              <w:rPr>
                <w:rStyle w:val="row-content-rich-text"/>
                <w:b/>
              </w:rPr>
              <w:t xml:space="preserve">Code 1.2. Owner - being purchased/with mortgage:</w:t>
            </w:r>
            <w:r>
              <w:rPr>
                <w:rStyle w:val="row-content-rich-text"/>
              </w:rPr>
              <w:t xml:space="preserve"> Applies to persons who are repaying a mortgage or loans secured against the dwelling, regardless of the purpose of the mortgage or secured loan.</w:t>
            </w:r>
          </w:p>
          <w:p>
            <w:pPr>
              <w:spacing w:after="160"/>
            </w:pPr>
            <w:r>
              <w:rPr>
                <w:rStyle w:val="row-content-rich-text"/>
                <w:b/>
              </w:rPr>
              <w:t xml:space="preserve">Code 2. Renter:</w:t>
            </w:r>
            <w:r>
              <w:rPr>
                <w:rStyle w:val="row-content-rich-text"/>
              </w:rPr>
              <w:t xml:space="preserve"> Money is exchanged with another person/organisation in return for accommodation. Included in this category are: Boarder, a person who is provided with meals and lodging; and Lodger, a person who is provided with lodging (a room or rooms) in return for money.</w:t>
            </w:r>
          </w:p>
          <w:p>
            <w:pPr>
              <w:spacing w:after="160"/>
            </w:pPr>
            <w:r>
              <w:rPr>
                <w:rStyle w:val="row-content-rich-text"/>
                <w:b/>
              </w:rPr>
              <w:t xml:space="preserve">Code 2.1. Private renter:</w:t>
            </w:r>
            <w:r>
              <w:rPr>
                <w:rStyle w:val="row-content-rich-text"/>
              </w:rPr>
              <w:t xml:space="preserve"> Applies to persons who pay rent in exchange for accommodation from private sources.</w:t>
            </w:r>
          </w:p>
          <w:p>
            <w:pPr>
              <w:spacing w:after="160"/>
            </w:pPr>
            <w:r>
              <w:rPr>
                <w:rStyle w:val="row-content-rich-text"/>
                <w:b/>
              </w:rPr>
              <w:t xml:space="preserve">Code 2.2. Public renter:</w:t>
            </w:r>
            <w:r>
              <w:rPr>
                <w:rStyle w:val="row-content-rich-text"/>
              </w:rPr>
              <w:t xml:space="preserve"> Applies to persons who are receiving assistance under the public rental housing programs offered by state and territory housing authorities and are paying rent to the relevant government housing authority.</w:t>
            </w:r>
          </w:p>
          <w:p>
            <w:pPr>
              <w:spacing w:after="160"/>
            </w:pPr>
            <w:r>
              <w:rPr>
                <w:rStyle w:val="row-content-rich-text"/>
                <w:b/>
              </w:rPr>
              <w:t xml:space="preserve">Code 2.3. Community renter:</w:t>
            </w:r>
            <w:r>
              <w:rPr>
                <w:rStyle w:val="row-content-rich-text"/>
              </w:rPr>
              <w:t xml:space="preserve"> Applies to persons who are receiving assistance under a community housing program offered by not-for-profit community agencies which may or may not be funded by state and territory housing authorities.</w:t>
            </w:r>
          </w:p>
          <w:p>
            <w:pPr>
              <w:spacing w:after="160"/>
            </w:pPr>
            <w:r>
              <w:rPr>
                <w:rStyle w:val="row-content-rich-text"/>
                <w:b/>
              </w:rPr>
              <w:t xml:space="preserve">Code 3. Rent free:</w:t>
            </w:r>
            <w:r>
              <w:rPr>
                <w:rStyle w:val="row-content-rich-text"/>
              </w:rPr>
              <w:t xml:space="preserve"> If no money is exchanged for accommodation and the person is not an owner of the dwelling.</w:t>
            </w:r>
          </w:p>
          <w:p>
            <w:pPr>
              <w:spacing w:after="160"/>
            </w:pPr>
            <w:r>
              <w:rPr>
                <w:rStyle w:val="row-content-rich-text"/>
                <w:b/>
              </w:rPr>
              <w:t xml:space="preserve">Code 4. Life tenure scheme:</w:t>
            </w:r>
            <w:r>
              <w:rPr>
                <w:rStyle w:val="row-content-rich-text"/>
              </w:rPr>
              <w:t xml:space="preserve"> The person(s) has/have a contract to live in the dwelling for the term of his/her life but without the full rights of ownership and usually has/have limited or no equity in the dwelling. This is a common arrangement in retirement villages.</w:t>
            </w:r>
          </w:p>
          <w:p>
            <w:pPr>
              <w:spacing w:after="160"/>
            </w:pPr>
            <w:r>
              <w:rPr>
                <w:rStyle w:val="row-content-rich-text"/>
                <w:b/>
              </w:rPr>
              <w:t xml:space="preserve">Code 5. Shared equity or rent/buy scheme: </w:t>
            </w:r>
            <w:r>
              <w:rPr>
                <w:rStyle w:val="row-content-rich-text"/>
              </w:rPr>
              <w:t xml:space="preserve">The household is both purchasing some equity in the dwelling, and paying rent for the remainder.</w:t>
            </w:r>
          </w:p>
          <w:p>
            <w:pPr>
              <w:spacing w:after="160"/>
            </w:pPr>
            <w:r>
              <w:rPr>
                <w:rStyle w:val="row-content-rich-text"/>
                <w:b/>
              </w:rPr>
              <w:t xml:space="preserve">Code 6. None/homeless:</w:t>
            </w:r>
            <w:r>
              <w:rPr>
                <w:rStyle w:val="row-content-rich-text"/>
              </w:rPr>
              <w:t xml:space="preserve"> No tenure.</w:t>
            </w:r>
          </w:p>
          <w:p>
            <w:pPr/>
            <w:r>
              <w:rPr>
                <w:rStyle w:val="row-content-rich-text"/>
                <w:b/>
              </w:rPr>
              <w:t xml:space="preserve">Code 7. Other:</w:t>
            </w:r>
            <w:r>
              <w:rPr>
                <w:rStyle w:val="row-content-rich-text"/>
              </w:rPr>
              <w:t xml:space="preserve"> The tenure does not fit any of the above categories. For example: house-sitting, payment in kind, for a specific service.</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is collected for all people in private residential settings and can be collected for some residents in community settings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p>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07eaf19b1f24282">
              <w:r>
                <w:rPr>
                  <w:rStyle w:val="Hyperlink"/>
                </w:rPr>
                <w:t xml:space="preserve">Household—tenure type, code N{.N}</w:t>
              </w:r>
            </w:hyperlink>
          </w:p>
          <w:p>
            <w:pPr>
              <w:spacing w:before="0" w:after="0"/>
            </w:pPr>
            <w:r>
              <w:rPr>
                <w:rStyle w:val="row-content"/>
                <w:color w:val="244061"/>
              </w:rPr>
              <w:t xml:space="preserve">       </w:t>
            </w:r>
            <w:hyperlink w:history="true" r:id="R8c9f4627204148c7">
              <w:r>
                <w:rPr>
                  <w:rStyle w:val="Hyperlink"/>
                  <w:color w:val="244061"/>
                </w:rPr>
                <w:t xml:space="preserve">Housing assistance</w:t>
              </w:r>
            </w:hyperlink>
            <w:r>
              <w:rPr>
                <w:rStyle w:val="row-content"/>
                <w:color w:val="244061"/>
              </w:rPr>
              <w:t xml:space="preserve">, Standard 10/02/2006</w:t>
            </w:r>
          </w:p>
          <w:p>
            <w:r>
              <w:br/>
            </w:r>
            <w:r>
              <w:rPr>
                <w:rStyle w:val="row-content"/>
              </w:rPr>
              <w:t xml:space="preserve">Is re-engineered from </w:t>
            </w:r>
            <w:hyperlink w:history="true" r:id="R07a9db2d55f44033">
              <w:r>
                <w:drawing>
                  <wp:inline xmlns:wp="http://schemas.openxmlformats.org/drawingml/2006/wordprocessingDrawing" distT="0" distB="0" distL="0" distR="0">
                    <wp:extent cx="152400" cy="152400"/>
                    <wp:effectExtent l="19050" t="0" r="0" b="0"/>
                    <wp:docPr id="2" name="Picture 2" descr="">
                      <a:hlinkClick xmlns:a="http://schemas.openxmlformats.org/drawingml/2006/main" r:id="R07a9db2d55f44033"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2f42e2f45613401d"/>
                            <a:srcRect/>
                            <a:stretch>
                              <a:fillRect/>
                            </a:stretch>
                          </pic:blipFill>
                          <pic:spPr bwMode="auto">
                            <a:xfrm>
                              <a:off x="0" y="0"/>
                              <a:ext cx="152400" cy="152400"/>
                            </a:xfrm>
                            <a:prstGeom prst="rect">
                              <a:avLst/>
                            </a:prstGeom>
                          </pic:spPr>
                        </pic:pic>
                      </a:graphicData>
                    </a:graphic>
                  </wp:inline>
                </w:drawing>
              </w:r>
              <w:r>
                <w:rPr>
                  <w:rStyle w:val="Hyperlink"/>
                </w:rPr>
                <w:t xml:space="preserve"> Tenure type, version 1, DE, NHADD, NHDAMG,  Superseded 01/03/2005.pdf</w:t>
              </w:r>
            </w:hyperlink>
          </w:p>
          <w:p>
            <w:r>
              <w:rPr>
                <w:rStyle w:val="row-content"/>
              </w:rPr>
              <w:t xml:space="preserve"> (19.9 KB)</w:t>
            </w:r>
          </w:p>
          <w:p>
            <w:pPr>
              <w:spacing w:before="0" w:after="0"/>
            </w:pPr>
            <w:r>
              <w:rPr>
                <w:rStyle w:val="row-content"/>
              </w:rPr>
              <w:t xml:space="preserve">       </w:t>
            </w: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a40c5f924e6c428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270352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cb1586ccc444eb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40c5f924e6c428c" /><Relationship Type="http://schemas.openxmlformats.org/officeDocument/2006/relationships/header" Target="/word/header1.xml" Id="R3471ac2f4da64e35" /><Relationship Type="http://schemas.openxmlformats.org/officeDocument/2006/relationships/settings" Target="/word/settings.xml" Id="R4e67ebdd721d4e07" /><Relationship Type="http://schemas.openxmlformats.org/officeDocument/2006/relationships/styles" Target="/word/styles.xml" Id="R8eacaf2c87bf4f93" /><Relationship Type="http://schemas.openxmlformats.org/officeDocument/2006/relationships/hyperlink" Target="https://meteor.aihw.gov.au/RegistrationAuthority/11" TargetMode="External" Id="R954d114689944a1f" /><Relationship Type="http://schemas.openxmlformats.org/officeDocument/2006/relationships/hyperlink" Target="https://meteor.aihw.gov.au/content/269784" TargetMode="External" Id="Rb07c7f15632b488a" /><Relationship Type="http://schemas.openxmlformats.org/officeDocument/2006/relationships/hyperlink" Target="https://meteor.aihw.gov.au/content/270858" TargetMode="External" Id="Re5b087559a9746de" /><Relationship Type="http://schemas.openxmlformats.org/officeDocument/2006/relationships/hyperlink" Target="https://meteor.aihw.gov.au/content/303356" TargetMode="External" Id="Rb07eaf19b1f24282" /><Relationship Type="http://schemas.openxmlformats.org/officeDocument/2006/relationships/hyperlink" Target="https://meteor.aihw.gov.au/RegistrationAuthority/11" TargetMode="External" Id="R8c9f4627204148c7" /><Relationship Type="http://schemas.openxmlformats.org/officeDocument/2006/relationships/hyperlink" Target="https://meteor.aihw.gov.au/content/273766" TargetMode="External" Id="R07a9db2d55f44033" /><Relationship Type="http://schemas.openxmlformats.org/officeDocument/2006/relationships/image" Target="/media/image.gif" Id="R2f42e2f45613401d" /></Relationships>
</file>

<file path=word/_rels/header1.xml.rels>&#65279;<?xml version="1.0" encoding="utf-8"?><Relationships xmlns="http://schemas.openxmlformats.org/package/2006/relationships"><Relationship Type="http://schemas.openxmlformats.org/officeDocument/2006/relationships/image" Target="/media/image.png" Id="R3cb1586ccc444eb6" /></Relationships>
</file>