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d82aa18f04cf3" /></Relationships>
</file>

<file path=word/document.xml><?xml version="1.0" encoding="utf-8"?>
<w:document xmlns:r="http://schemas.openxmlformats.org/officeDocument/2006/relationships" xmlns:w="http://schemas.openxmlformats.org/wordprocessingml/2006/main">
  <w:body>
    <w:p>
      <w:pPr>
        <w:pStyle w:val="Title"/>
      </w:pPr>
      <w:r>
        <w:t>Person—proteinuria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Person—proteinuria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Proteinuria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4e2a61c504d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presence of excessive protein in the urine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f5e7012b4943b8">
              <w:r>
                <w:rPr>
                  <w:rStyle w:val="Hyperlink"/>
                </w:rPr>
                <w:t xml:space="preserve">Person—proteinuria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77d5b7ba824dfe">
              <w:r>
                <w:rPr>
                  <w:rStyle w:val="Hyperlink"/>
                </w:rPr>
                <w:t xml:space="preserve">Proteinuria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Negative for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Microalbuminuria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 1.2</w:t>
            </w:r>
          </w:p>
        </w:tc>
        <w:tc>
          <w:tcPr>
            <w:tcBorders>
              <w:top w:val="none" w:color="000000" w:sz="0"/>
              <w:left w:val="none" w:color="000000" w:sz="0"/>
              <w:bottom w:val="none" w:color="000000" w:sz="0"/>
              <w:right w:val="none" w:color="000000" w:sz="0"/>
            </w:tcBorders>
            <w:vAlign w:val="top"/>
          </w:tcPr>
          <w:p>
            <w:r>
              <w:t xml:space="preserve">Microalbuminuria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Microalbuminuria not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Proteinuria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Negative for protein</w:t>
            </w:r>
          </w:p>
          <w:p>
            <w:pPr>
              <w:spacing w:after="160"/>
            </w:pPr>
            <w:r>
              <w:rPr>
                <w:rStyle w:val="row-content-rich-text"/>
              </w:rPr>
              <w:t xml:space="preserve">Negative for proteinuria - less than 1 plus on dipstick-testing or excretion of 300 mg or less of protein from 24-hour urine collection.</w:t>
            </w:r>
          </w:p>
          <w:p>
            <w:pPr>
              <w:spacing w:after="160"/>
            </w:pPr>
            <w:r>
              <w:rPr>
                <w:rStyle w:val="row-content-rich-text"/>
              </w:rPr>
              <w:t xml:space="preserve">CODE 1.1   Microalbuminuria present</w:t>
            </w:r>
          </w:p>
          <w:p>
            <w:pPr>
              <w:spacing w:after="160"/>
            </w:pPr>
            <w:r>
              <w:rPr>
                <w:rStyle w:val="row-content-rich-text"/>
              </w:rPr>
              <w:t xml:space="preserve">Microalbuminuria present</w:t>
            </w:r>
          </w:p>
          <w:p>
            <w:pPr>
              <w:spacing w:after="160"/>
            </w:pPr>
            <w:r>
              <w:rPr>
                <w:rStyle w:val="row-content-rich-text"/>
              </w:rPr>
              <w:t xml:space="preserve">CODE 1.2   Microalbuminuria not present</w:t>
            </w:r>
          </w:p>
          <w:p>
            <w:pPr>
              <w:spacing w:after="160"/>
            </w:pPr>
            <w:r>
              <w:rPr>
                <w:rStyle w:val="row-content-rich-text"/>
              </w:rPr>
              <w:t xml:space="preserve">Microalbuminuria not present</w:t>
            </w:r>
          </w:p>
          <w:p>
            <w:pPr>
              <w:spacing w:after="160"/>
            </w:pPr>
            <w:r>
              <w:rPr>
                <w:rStyle w:val="row-content-rich-text"/>
              </w:rPr>
              <w:t xml:space="preserve">CODE 1.3   Microalbuminuria not tested</w:t>
            </w:r>
          </w:p>
          <w:p>
            <w:pPr>
              <w:spacing w:after="160"/>
            </w:pPr>
            <w:r>
              <w:rPr>
                <w:rStyle w:val="row-content-rich-text"/>
              </w:rPr>
              <w:t xml:space="preserve">Microalbuminuria not tested</w:t>
            </w:r>
          </w:p>
          <w:p>
            <w:pPr>
              <w:spacing w:after="160"/>
            </w:pPr>
            <w:r>
              <w:rPr>
                <w:rStyle w:val="row-content-rich-text"/>
              </w:rPr>
              <w:t xml:space="preserve">CODE 2      Proteinuria</w:t>
            </w:r>
          </w:p>
          <w:p>
            <w:pPr>
              <w:spacing w:after="160"/>
            </w:pPr>
            <w:r>
              <w:rPr>
                <w:rStyle w:val="row-content-rich-text"/>
              </w:rPr>
              <w:t xml:space="preserve">Proteinuria - one or more pluses of protein in dipstick urinalysis or for a 24-hour urine collection, where the patient excretes more than 300 mg/per day of protein.</w:t>
            </w:r>
          </w:p>
          <w:p>
            <w:pPr>
              <w:spacing w:after="160"/>
            </w:pPr>
            <w:r>
              <w:rPr>
                <w:rStyle w:val="row-content-rich-text"/>
              </w:rPr>
              <w:t xml:space="preserve">CODE 3      Not tested</w:t>
            </w:r>
          </w:p>
          <w:p>
            <w:pPr/>
            <w:r>
              <w:rPr>
                <w:rStyle w:val="row-content-rich-text"/>
              </w:rPr>
              <w:t xml:space="preserve">Not tested - no urinalysis for proteinuria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laboratory testing is used to determine Proteinuria status the categorisation must be substantiated by clinical documentation such as an official laboratory report.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Dipstick testing can be used to test for protein in a urine specimen. Proteinuria (i.e. excessive protein in the urine) on dipstick urinalysis is described as one or more pluses of protein and for a 24-hour urine collection where the patient excretes more than 300 mg/day of protein.</w:t>
            </w:r>
          </w:p>
          <w:p>
            <w:pPr/>
            <w:r>
              <w:rPr>
                <w:rStyle w:val="row-content-rich-text"/>
              </w:rPr>
              <w:t xml:space="preserve">Microalbuminuria can be determining using any one of the following tests: spot urine, timed urine (24-hour collection) or albumin/creatinine ratio. Although the presence of microalbuminuria does not warrant categorisation as proteinuria, it is clinically significant in the diagnosis and treatment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a measure can change over time (such as general practice), the Patient—diagnosis date, DDMMYYYY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d92181337e94a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92181337e94a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e5f8122e5f45b7"/>
                            <a:srcRect/>
                            <a:stretch>
                              <a:fillRect/>
                            </a:stretch>
                          </pic:blipFill>
                          <pic:spPr bwMode="auto">
                            <a:xfrm>
                              <a:off x="0" y="0"/>
                              <a:ext cx="152400" cy="152400"/>
                            </a:xfrm>
                            <a:prstGeom prst="rect">
                              <a:avLst/>
                            </a:prstGeom>
                          </pic:spPr>
                        </pic:pic>
                      </a:graphicData>
                    </a:graphic>
                  </wp:inline>
                </w:drawing>
              </w:r>
              <w:r>
                <w:rPr>
                  <w:rStyle w:val="Hyperlink"/>
                </w:rPr>
                <w:t xml:space="preserve"> Proteinuria - status,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ef37348466a43cb">
              <w:r>
                <w:rPr>
                  <w:rStyle w:val="Hyperlink"/>
                </w:rPr>
                <w:t xml:space="preserve">Patient—diagnosis date, DDMMYYYY</w:t>
              </w:r>
            </w:hyperlink>
          </w:p>
          <w:p>
            <w:pPr>
              <w:spacing w:before="0" w:after="0"/>
            </w:pPr>
            <w:r>
              <w:rPr>
                <w:rStyle w:val="row-content"/>
                <w:color w:val="244061"/>
              </w:rPr>
              <w:t xml:space="preserve">       </w:t>
            </w:r>
            <w:hyperlink w:history="true" r:id="Ra6470c3b12f64888">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aa9b9785bc4062">
              <w:r>
                <w:rPr>
                  <w:rStyle w:val="Hyperlink"/>
                </w:rPr>
                <w:t xml:space="preserve">Cardiovascular disease (clinical) DSS</w:t>
              </w:r>
            </w:hyperlink>
          </w:p>
          <w:p>
            <w:pPr>
              <w:spacing w:before="0" w:after="0"/>
            </w:pPr>
            <w:r>
              <w:rPr>
                <w:rStyle w:val="row-content"/>
                <w:color w:val="244061"/>
              </w:rPr>
              <w:t xml:space="preserve">       </w:t>
            </w:r>
            <w:hyperlink w:history="true" r:id="Rb90b761667cf4963">
              <w:r>
                <w:rPr>
                  <w:rStyle w:val="Hyperlink"/>
                  <w:color w:val="244061"/>
                </w:rPr>
                <w:t xml:space="preserve">Health</w:t>
              </w:r>
            </w:hyperlink>
            <w:r>
              <w:rPr>
                <w:rStyle w:val="row-content"/>
                <w:color w:val="244061"/>
              </w:rPr>
              <w:t xml:space="preserve">, Superseded 15/02/2006</w:t>
            </w:r>
          </w:p>
          <w:p>
            <w:r>
              <w:br/>
            </w:r>
            <w:hyperlink w:history="true" r:id="Rbde34a237f914d69">
              <w:r>
                <w:rPr>
                  <w:rStyle w:val="Hyperlink"/>
                </w:rPr>
                <w:t xml:space="preserve">Cardiovascular disease (clinical) DSS</w:t>
              </w:r>
            </w:hyperlink>
          </w:p>
          <w:p>
            <w:pPr>
              <w:spacing w:before="0" w:after="0"/>
            </w:pPr>
            <w:r>
              <w:rPr>
                <w:rStyle w:val="row-content"/>
                <w:color w:val="244061"/>
              </w:rPr>
              <w:t xml:space="preserve">       </w:t>
            </w:r>
            <w:hyperlink w:history="true" r:id="R3f995fb31f5d4e22">
              <w:r>
                <w:rPr>
                  <w:rStyle w:val="Hyperlink"/>
                  <w:color w:val="244061"/>
                </w:rPr>
                <w:t xml:space="preserve">Health</w:t>
              </w:r>
            </w:hyperlink>
            <w:r>
              <w:rPr>
                <w:rStyle w:val="row-content"/>
                <w:color w:val="244061"/>
              </w:rPr>
              <w:t xml:space="preserve">, Superseded 04/07/2007</w:t>
            </w:r>
          </w:p>
          <w:p>
            <w:r>
              <w:br/>
            </w:r>
            <w:hyperlink w:history="true" r:id="R4a1189d7e861472b">
              <w:r>
                <w:rPr>
                  <w:rStyle w:val="Hyperlink"/>
                </w:rPr>
                <w:t xml:space="preserve">Cardiovascular disease (clinical) DSS</w:t>
              </w:r>
            </w:hyperlink>
          </w:p>
          <w:p>
            <w:pPr>
              <w:spacing w:before="0" w:after="0"/>
            </w:pPr>
            <w:r>
              <w:rPr>
                <w:rStyle w:val="row-content"/>
                <w:color w:val="244061"/>
              </w:rPr>
              <w:t xml:space="preserve">       </w:t>
            </w:r>
            <w:hyperlink w:history="true" r:id="Rf8e282a809a0419f">
              <w:r>
                <w:rPr>
                  <w:rStyle w:val="Hyperlink"/>
                  <w:color w:val="244061"/>
                </w:rPr>
                <w:t xml:space="preserve">Health</w:t>
              </w:r>
            </w:hyperlink>
            <w:r>
              <w:rPr>
                <w:rStyle w:val="row-content"/>
                <w:color w:val="244061"/>
              </w:rPr>
              <w:t xml:space="preserve">, Superseded 22/12/2009</w:t>
            </w:r>
          </w:p>
          <w:p>
            <w:r>
              <w:br/>
            </w:r>
            <w:hyperlink w:history="true" r:id="Rec86e04edfeb491a">
              <w:r>
                <w:rPr>
                  <w:rStyle w:val="Hyperlink"/>
                </w:rPr>
                <w:t xml:space="preserve">Cardiovascular disease (clinical) DSS</w:t>
              </w:r>
            </w:hyperlink>
          </w:p>
          <w:p>
            <w:pPr>
              <w:spacing w:before="0" w:after="0"/>
            </w:pPr>
            <w:r>
              <w:rPr>
                <w:rStyle w:val="row-content"/>
                <w:color w:val="244061"/>
              </w:rPr>
              <w:t xml:space="preserve">       </w:t>
            </w:r>
            <w:hyperlink w:history="true" r:id="Re20206315a4244fb">
              <w:r>
                <w:rPr>
                  <w:rStyle w:val="Hyperlink"/>
                  <w:color w:val="244061"/>
                </w:rPr>
                <w:t xml:space="preserve">Health</w:t>
              </w:r>
            </w:hyperlink>
            <w:r>
              <w:rPr>
                <w:rStyle w:val="row-content"/>
                <w:color w:val="244061"/>
              </w:rPr>
              <w:t xml:space="preserve">, Superseded 01/09/2012</w:t>
            </w:r>
          </w:p>
          <w:p>
            <w:r>
              <w:br/>
            </w:r>
            <w:hyperlink w:history="true" r:id="R2088bfc25ef741aa">
              <w:r>
                <w:rPr>
                  <w:rStyle w:val="Hyperlink"/>
                </w:rPr>
                <w:t xml:space="preserve">Cardiovascular disease (clinical) NBPDS</w:t>
              </w:r>
            </w:hyperlink>
          </w:p>
          <w:p>
            <w:pPr>
              <w:spacing w:before="0" w:after="0"/>
            </w:pPr>
            <w:r>
              <w:rPr>
                <w:rStyle w:val="row-content"/>
                <w:color w:val="244061"/>
              </w:rPr>
              <w:t xml:space="preserve">       </w:t>
            </w:r>
            <w:hyperlink w:history="true" r:id="Rc830c790d7af45e5">
              <w:r>
                <w:rPr>
                  <w:rStyle w:val="Hyperlink"/>
                  <w:color w:val="244061"/>
                </w:rPr>
                <w:t xml:space="preserve">Health</w:t>
              </w:r>
            </w:hyperlink>
            <w:r>
              <w:rPr>
                <w:rStyle w:val="row-content"/>
                <w:color w:val="244061"/>
              </w:rPr>
              <w:t xml:space="preserve">, Superseded 17/10/2018</w:t>
            </w:r>
          </w:p>
          <w:p>
            <w:r>
              <w:br/>
            </w:r>
            <w:hyperlink w:history="true" r:id="Rb922423f926344dc">
              <w:r>
                <w:rPr>
                  <w:rStyle w:val="Hyperlink"/>
                </w:rPr>
                <w:t xml:space="preserve">Cardiovascular disease (clinical) NBPDS </w:t>
              </w:r>
            </w:hyperlink>
          </w:p>
          <w:p>
            <w:pPr>
              <w:spacing w:before="0" w:after="0"/>
            </w:pPr>
            <w:r>
              <w:rPr>
                <w:rStyle w:val="row-content"/>
                <w:color w:val="244061"/>
              </w:rPr>
              <w:t xml:space="preserve">       </w:t>
            </w:r>
            <w:hyperlink w:history="true" r:id="Rca526650d9cb4c8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c49c97af16ca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8ffd00690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c97af16ca40d1" /><Relationship Type="http://schemas.openxmlformats.org/officeDocument/2006/relationships/header" Target="/word/header1.xml" Id="R078d2e429eb6486b" /><Relationship Type="http://schemas.openxmlformats.org/officeDocument/2006/relationships/settings" Target="/word/settings.xml" Id="Rdfc3d2f7f8df4b6f" /><Relationship Type="http://schemas.openxmlformats.org/officeDocument/2006/relationships/styles" Target="/word/styles.xml" Id="R5e0ee19c429540f5" /><Relationship Type="http://schemas.openxmlformats.org/officeDocument/2006/relationships/hyperlink" Target="https://meteor.aihw.gov.au/RegistrationAuthority/12" TargetMode="External" Id="R0514e2a61c504dbe" /><Relationship Type="http://schemas.openxmlformats.org/officeDocument/2006/relationships/hyperlink" Target="https://meteor.aihw.gov.au/content/269778" TargetMode="External" Id="R45f5e7012b4943b8" /><Relationship Type="http://schemas.openxmlformats.org/officeDocument/2006/relationships/hyperlink" Target="https://meteor.aihw.gov.au/content/270852" TargetMode="External" Id="R8e77d5b7ba824dfe" /><Relationship Type="http://schemas.openxmlformats.org/officeDocument/2006/relationships/hyperlink" Target="https://meteor.aihw.gov.au/content/273679" TargetMode="External" Id="R2d92181337e94abc" /><Relationship Type="http://schemas.openxmlformats.org/officeDocument/2006/relationships/image" Target="/media/image.gif" Id="R15e5f8122e5f45b7" /><Relationship Type="http://schemas.openxmlformats.org/officeDocument/2006/relationships/hyperlink" Target="https://meteor.aihw.gov.au/content/696061" TargetMode="External" Id="R6ef37348466a43cb" /><Relationship Type="http://schemas.openxmlformats.org/officeDocument/2006/relationships/hyperlink" Target="https://meteor.aihw.gov.au/RegistrationAuthority/12" TargetMode="External" Id="Ra6470c3b12f64888" /><Relationship Type="http://schemas.openxmlformats.org/officeDocument/2006/relationships/hyperlink" Target="https://meteor.aihw.gov.au/content/273052" TargetMode="External" Id="R8faa9b9785bc4062" /><Relationship Type="http://schemas.openxmlformats.org/officeDocument/2006/relationships/hyperlink" Target="https://meteor.aihw.gov.au/RegistrationAuthority/12" TargetMode="External" Id="Rb90b761667cf4963" /><Relationship Type="http://schemas.openxmlformats.org/officeDocument/2006/relationships/hyperlink" Target="https://meteor.aihw.gov.au/content/348289" TargetMode="External" Id="Rbde34a237f914d69" /><Relationship Type="http://schemas.openxmlformats.org/officeDocument/2006/relationships/hyperlink" Target="https://meteor.aihw.gov.au/RegistrationAuthority/12" TargetMode="External" Id="R3f995fb31f5d4e22" /><Relationship Type="http://schemas.openxmlformats.org/officeDocument/2006/relationships/hyperlink" Target="https://meteor.aihw.gov.au/content/353668" TargetMode="External" Id="R4a1189d7e861472b" /><Relationship Type="http://schemas.openxmlformats.org/officeDocument/2006/relationships/hyperlink" Target="https://meteor.aihw.gov.au/RegistrationAuthority/12" TargetMode="External" Id="Rf8e282a809a0419f" /><Relationship Type="http://schemas.openxmlformats.org/officeDocument/2006/relationships/hyperlink" Target="https://meteor.aihw.gov.au/content/374213" TargetMode="External" Id="Rec86e04edfeb491a" /><Relationship Type="http://schemas.openxmlformats.org/officeDocument/2006/relationships/hyperlink" Target="https://meteor.aihw.gov.au/RegistrationAuthority/12" TargetMode="External" Id="Re20206315a4244fb" /><Relationship Type="http://schemas.openxmlformats.org/officeDocument/2006/relationships/hyperlink" Target="https://meteor.aihw.gov.au/content/470731" TargetMode="External" Id="R2088bfc25ef741aa" /><Relationship Type="http://schemas.openxmlformats.org/officeDocument/2006/relationships/hyperlink" Target="https://meteor.aihw.gov.au/RegistrationAuthority/12" TargetMode="External" Id="Rc830c790d7af45e5" /><Relationship Type="http://schemas.openxmlformats.org/officeDocument/2006/relationships/hyperlink" Target="https://meteor.aihw.gov.au/content/697668" TargetMode="External" Id="Rb922423f926344dc" /><Relationship Type="http://schemas.openxmlformats.org/officeDocument/2006/relationships/hyperlink" Target="https://meteor.aihw.gov.au/RegistrationAuthority/12" TargetMode="External" Id="Rca526650d9cb4c89" /></Relationships>
</file>

<file path=word/_rels/header1.xml.rels>&#65279;<?xml version="1.0" encoding="utf-8"?><Relationships xmlns="http://schemas.openxmlformats.org/package/2006/relationships"><Relationship Type="http://schemas.openxmlformats.org/officeDocument/2006/relationships/image" Target="/media/image.png" Id="R8498ffd006904f61" /></Relationships>
</file>