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08822f582244cc"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milligrams per litre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milligrams per litre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level—milligrams per litre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26925cddb40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milligrams per litre (mg/L).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32f2064ff84d32">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70b7b0ef5f4fd0">
              <w:r>
                <w:rPr>
                  <w:rStyle w:val="Hyperlink"/>
                </w:rPr>
                <w:t xml:space="preserve">Total milligrams per litre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ug/min.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91480c1059409c">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91480c1059409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48df8065a94bf0"/>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012249dbcadc4539">
              <w:r>
                <w:drawing>
                  <wp:inline xmlns:wp="http://schemas.openxmlformats.org/drawingml/2006/wordprocessingDrawing" distT="0" distB="0" distL="0" distR="0">
                    <wp:extent cx="152400" cy="152400"/>
                    <wp:effectExtent l="19050" t="0" r="0" b="0"/>
                    <wp:docPr id="3" name="Picture 3" descr="">
                      <a:hlinkClick xmlns:a="http://schemas.openxmlformats.org/drawingml/2006/main" r:id="R012249dbcadc453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d87498c32e741e3"/>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a32bc4f468a741b3">
              <w:r>
                <w:rPr>
                  <w:rStyle w:val="Hyperlink"/>
                </w:rPr>
                <w:t xml:space="preserve">Laboratory standard—upper limit of normal range for microalbumin, total milligrams per litre N[NN].N</w:t>
              </w:r>
            </w:hyperlink>
          </w:p>
          <w:p>
            <w:pPr>
              <w:spacing w:before="0" w:after="0"/>
            </w:pPr>
            <w:r>
              <w:rPr>
                <w:rStyle w:val="row-content"/>
                <w:color w:val="244061"/>
              </w:rPr>
              <w:t xml:space="preserve">       </w:t>
            </w:r>
            <w:hyperlink w:history="true" r:id="R23bb8d3edea3401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c95f6c0b504461">
              <w:r>
                <w:rPr>
                  <w:rStyle w:val="Hyperlink"/>
                </w:rPr>
                <w:t xml:space="preserve">Diabetes (clinical) DSS</w:t>
              </w:r>
            </w:hyperlink>
          </w:p>
          <w:p>
            <w:pPr>
              <w:spacing w:before="0" w:after="0"/>
            </w:pPr>
            <w:r>
              <w:rPr>
                <w:rStyle w:val="row-content"/>
                <w:color w:val="244061"/>
              </w:rPr>
              <w:t xml:space="preserve">       </w:t>
            </w:r>
            <w:hyperlink w:history="true" r:id="Rb004aaf5bf02405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ee51064997434ebd">
              <w:r>
                <w:rPr>
                  <w:rStyle w:val="Hyperlink"/>
                </w:rPr>
                <w:t xml:space="preserve">Diabetes (clinical) NBPDS</w:t>
              </w:r>
            </w:hyperlink>
          </w:p>
          <w:p>
            <w:pPr>
              <w:spacing w:before="0" w:after="0"/>
            </w:pPr>
            <w:r>
              <w:rPr>
                <w:rStyle w:val="row-content"/>
                <w:color w:val="244061"/>
              </w:rPr>
              <w:t xml:space="preserve">       </w:t>
            </w:r>
            <w:hyperlink w:history="true" r:id="R06ddc551d48949b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999b35a29392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06ad8dfc8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b35a293924763" /><Relationship Type="http://schemas.openxmlformats.org/officeDocument/2006/relationships/header" Target="/word/header1.xml" Id="Re310e96a048f4684" /><Relationship Type="http://schemas.openxmlformats.org/officeDocument/2006/relationships/settings" Target="/word/settings.xml" Id="R9ee6553ac9464532" /><Relationship Type="http://schemas.openxmlformats.org/officeDocument/2006/relationships/styles" Target="/word/styles.xml" Id="Rc92fa545a8684cd2" /><Relationship Type="http://schemas.openxmlformats.org/officeDocument/2006/relationships/hyperlink" Target="https://meteor.aihw.gov.au/RegistrationAuthority/12" TargetMode="External" Id="Rd0226925cddb40ea" /><Relationship Type="http://schemas.openxmlformats.org/officeDocument/2006/relationships/hyperlink" Target="https://meteor.aihw.gov.au/content/269773" TargetMode="External" Id="Re932f2064ff84d32" /><Relationship Type="http://schemas.openxmlformats.org/officeDocument/2006/relationships/hyperlink" Target="https://meteor.aihw.gov.au/content/270845" TargetMode="External" Id="R2b70b7b0ef5f4fd0" /><Relationship Type="http://schemas.openxmlformats.org/officeDocument/2006/relationships/numbering" Target="/word/numbering.xml" Id="R23ffa338edeb4038" /><Relationship Type="http://schemas.openxmlformats.org/officeDocument/2006/relationships/hyperlink" Target="https://meteor.aihw.gov.au/content/273876" TargetMode="External" Id="Rdc91480c1059409c" /><Relationship Type="http://schemas.openxmlformats.org/officeDocument/2006/relationships/image" Target="/media/image.gif" Id="R9e48df8065a94bf0" /><Relationship Type="http://schemas.openxmlformats.org/officeDocument/2006/relationships/hyperlink" Target="https://meteor.aihw.gov.au/content/273875" TargetMode="External" Id="R012249dbcadc4539" /><Relationship Type="http://schemas.openxmlformats.org/officeDocument/2006/relationships/image" Target="/media/image2.gif" Id="R0d87498c32e741e3" /><Relationship Type="http://schemas.openxmlformats.org/officeDocument/2006/relationships/hyperlink" Target="https://meteor.aihw.gov.au/content/270334" TargetMode="External" Id="Ra32bc4f468a741b3" /><Relationship Type="http://schemas.openxmlformats.org/officeDocument/2006/relationships/hyperlink" Target="https://meteor.aihw.gov.au/RegistrationAuthority/12" TargetMode="External" Id="R23bb8d3edea34019" /><Relationship Type="http://schemas.openxmlformats.org/officeDocument/2006/relationships/hyperlink" Target="https://meteor.aihw.gov.au/content/273054" TargetMode="External" Id="R8ec95f6c0b504461" /><Relationship Type="http://schemas.openxmlformats.org/officeDocument/2006/relationships/hyperlink" Target="https://meteor.aihw.gov.au/RegistrationAuthority/12" TargetMode="External" Id="Rb004aaf5bf02405b" /><Relationship Type="http://schemas.openxmlformats.org/officeDocument/2006/relationships/hyperlink" Target="https://meteor.aihw.gov.au/content/304865" TargetMode="External" Id="Ree51064997434ebd" /><Relationship Type="http://schemas.openxmlformats.org/officeDocument/2006/relationships/hyperlink" Target="https://meteor.aihw.gov.au/RegistrationAuthority/12" TargetMode="External" Id="R06ddc551d48949b8" /></Relationships>
</file>

<file path=word/_rels/header1.xml.rels>&#65279;<?xml version="1.0" encoding="utf-8"?><Relationships xmlns="http://schemas.openxmlformats.org/package/2006/relationships"><Relationship Type="http://schemas.openxmlformats.org/officeDocument/2006/relationships/image" Target="/media/image.png" Id="Rc7c06ad8dfc8453a" /></Relationships>
</file>