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fdeaa5241fa4e96" /></Relationships>
</file>

<file path=word/document.xml><?xml version="1.0" encoding="utf-8"?>
<w:document xmlns:r="http://schemas.openxmlformats.org/officeDocument/2006/relationships" xmlns:w="http://schemas.openxmlformats.org/wordprocessingml/2006/main">
  <w:body>
    <w:p>
      <w:pPr>
        <w:pStyle w:val="Title"/>
      </w:pPr>
      <w:r>
        <w:t>Commonwealth State Housing Agreement community housing provider—target group,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Commonwealth State Housing Agreement community housing provider—target group,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Targeted CSHA community housing provider target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Targeted CSHA community housing provider target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ae32a2d5264d97">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98cdad13a854cd0">
              <w:r>
                <w:rPr>
                  <w:rStyle w:val="Hyperlink"/>
                </w:rPr>
                <w:t xml:space="preserve">Commonwealth State Housing Agreement community housing provider—housing assistance target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ec2afbfa3444cdf">
              <w:r>
                <w:rPr>
                  <w:rStyle w:val="Hyperlink"/>
                </w:rPr>
                <w:t xml:space="preserve">Housing provider target group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People with a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Non-English speaking background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People aged 24 years and younger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People aged 55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People aged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People aged 75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Homeless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People escaping domestic violence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People in multiple target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Other target group not specified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Low income household is not defined as a target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Indigenous Australians:</w:t>
            </w:r>
          </w:p>
          <w:p>
            <w:pPr>
              <w:spacing w:after="160"/>
            </w:pPr>
            <w:r>
              <w:rPr>
                <w:rStyle w:val="row-content-rich-text"/>
              </w:rPr>
              <w:t xml:space="preserve">Households that satisfy the Indigenous household definition. For more information see the definition of </w:t>
            </w:r>
            <w:hyperlink w:history="true" r:id="Rc175d01f811a4bc4">
              <w:r>
                <w:rPr>
                  <w:rStyle w:val="Hyperlink"/>
                </w:rPr>
                <w:t xml:space="preserve">Household—Indigenous status, code N</w:t>
              </w:r>
            </w:hyperlink>
            <w:r>
              <w:rPr>
                <w:rStyle w:val="row-content-rich-text"/>
              </w:rPr>
              <w:t xml:space="preserve">.</w:t>
            </w:r>
          </w:p>
          <w:p>
            <w:pPr>
              <w:spacing w:after="160"/>
            </w:pPr>
            <w:r>
              <w:rPr>
                <w:rStyle w:val="row-content-rich-text"/>
              </w:rPr>
              <w:t xml:space="preserve">People with a disability: Households that contain a person who has a disability. For more information see the definition of </w:t>
            </w:r>
            <w:hyperlink w:history="true" r:id="Rd9f8825592b54d12">
              <w:r>
                <w:rPr>
                  <w:rStyle w:val="Hyperlink"/>
                </w:rPr>
                <w:t xml:space="preserve">Disability grouping code (ICF 2001) N[N]</w:t>
              </w:r>
            </w:hyperlink>
            <w:r>
              <w:rPr>
                <w:rStyle w:val="row-content-rich-text"/>
              </w:rPr>
              <w:t xml:space="preserve">.</w:t>
            </w:r>
          </w:p>
          <w:p>
            <w:pPr>
              <w:spacing w:after="160"/>
            </w:pPr>
            <w:r>
              <w:rPr>
                <w:rStyle w:val="row-content-rich-text"/>
              </w:rPr>
              <w:t xml:space="preserve">People from non-English speaking background: Households that contain a member from a non-English speaking background. Persons from a non-English speaking background are defined as persons born overseas and have a first language other than English, or one of their parents have those characteristics (Australian Bureau of Statistics 1997:2).</w:t>
            </w:r>
          </w:p>
          <w:p>
            <w:pPr>
              <w:spacing w:after="160"/>
            </w:pPr>
            <w:r>
              <w:rPr>
                <w:rStyle w:val="row-content-rich-text"/>
              </w:rPr>
              <w:t xml:space="preserve">Age related target groups:</w:t>
            </w:r>
          </w:p>
          <w:p>
            <w:pPr>
              <w:spacing w:after="160"/>
            </w:pPr>
            <w:r>
              <w:rPr>
                <w:rStyle w:val="row-content-rich-text"/>
              </w:rPr>
              <w:t xml:space="preserve">Households where the principal tenant is aged:</w:t>
            </w:r>
          </w:p>
          <w:p>
            <w:pPr>
              <w:pStyle w:val="ListParagraph"/>
              <w:numPr>
                <w:ilvl w:val="0"/>
                <w:numId w:val="2"/>
              </w:numPr>
            </w:pPr>
            <w:r>
              <w:rPr>
                <w:rStyle w:val="row-content-rich-text"/>
              </w:rPr>
              <w:t xml:space="preserve">24 years and under;</w:t>
            </w:r>
          </w:p>
          <w:p>
            <w:pPr>
              <w:pStyle w:val="ListParagraph"/>
              <w:numPr>
                <w:ilvl w:val="0"/>
                <w:numId w:val="2"/>
              </w:numPr>
            </w:pPr>
            <w:r>
              <w:rPr>
                <w:rStyle w:val="row-content-rich-text"/>
              </w:rPr>
              <w:t xml:space="preserve">55 years and over;</w:t>
            </w:r>
          </w:p>
          <w:p>
            <w:pPr>
              <w:pStyle w:val="ListParagraph"/>
              <w:numPr>
                <w:ilvl w:val="0"/>
                <w:numId w:val="2"/>
              </w:numPr>
            </w:pPr>
            <w:r>
              <w:rPr>
                <w:rStyle w:val="row-content-rich-text"/>
              </w:rPr>
              <w:t xml:space="preserve">65 years and over;</w:t>
            </w:r>
          </w:p>
          <w:p>
            <w:pPr>
              <w:pStyle w:val="ListParagraph"/>
              <w:numPr>
                <w:ilvl w:val="0"/>
                <w:numId w:val="2"/>
              </w:numPr>
            </w:pPr>
            <w:r>
              <w:rPr>
                <w:rStyle w:val="row-content-rich-text"/>
              </w:rPr>
              <w:t xml:space="preserve">75 years and over.</w:t>
            </w:r>
          </w:p>
          <w:p>
            <w:pPr>
              <w:spacing w:after="160"/>
            </w:pPr>
            <w:r>
              <w:rPr>
                <w:rStyle w:val="row-content-rich-text"/>
              </w:rPr>
              <w:t xml:space="preserve">Principal tenant is defined as the person or principal person whose name appears on the tenancy agreement. Where this is not clear, it should be the person who is responsible for rental payments.</w:t>
            </w:r>
          </w:p>
          <w:p>
            <w:pPr>
              <w:spacing w:after="160"/>
            </w:pPr>
            <w:r>
              <w:rPr>
                <w:rStyle w:val="row-content-rich-text"/>
              </w:rPr>
              <w:t xml:space="preserve">Providers who target older age related target groups (e.g. exclude the 24 years and under inclusive target group) should be counted in one target group only. For example, providers who target to 65yrs and over should be counted in the 65yr and over category only; do not also count these providers in the 75 yrs and over category.</w:t>
            </w:r>
          </w:p>
          <w:p>
            <w:pPr>
              <w:spacing w:after="160"/>
            </w:pPr>
            <w:r>
              <w:rPr>
                <w:rStyle w:val="row-content-rich-text"/>
              </w:rPr>
              <w:t xml:space="preserve">Note that household level data counts only two age related categories 24 years and under and 65 years and older.</w:t>
            </w:r>
          </w:p>
          <w:p>
            <w:pPr>
              <w:spacing w:after="160"/>
            </w:pPr>
            <w:r>
              <w:rPr>
                <w:rStyle w:val="row-content-rich-text"/>
              </w:rPr>
              <w:t xml:space="preserve">Homeless people: Homeless, for the purpose of the CSHA national standard, is defined as an applicant with no housing or an applicant residing in temporary or emergency accommodation at the time of housing allocation. It includes applicants who lived in accommodation provided by a Supported Accommodation Assistance Program agency or some other form of emergency accommodation; or were totally without permanent shelter (e.g. wandered from place to place, slept out on the street); or lived in shelter that was unlawful such as those who were forced to squat in derelict buildings; or stayed temporarily with friends or relatives in the short term.</w:t>
            </w:r>
          </w:p>
          <w:p>
            <w:pPr>
              <w:spacing w:after="160"/>
            </w:pPr>
            <w:r>
              <w:rPr>
                <w:rStyle w:val="row-content-rich-text"/>
              </w:rPr>
              <w:t xml:space="preserve">People escaping domestic violence: Applicants living in a situation that place their life or safety at risk. This includes situations where people were subject to domestic violence; sexual/emotional abuse; child abuse; or at risk of violence or who feared for their safety in the home environment. Violence is defined as any incident involving the occurrence, attempt or threat of either physical or sexual assault. Physical assault involves the use of physical force with the intent to harm or frighten a person. The threat to harm should only be included if it is believed the harm is likely to be carried out. Sexual assault includes acts of a sexual nature against a person's will through the use of physical force, intimidation or coercion, or any attempts to do this.</w:t>
            </w:r>
          </w:p>
          <w:p>
            <w:pPr>
              <w:spacing w:after="160"/>
            </w:pPr>
            <w:r>
              <w:rPr>
                <w:rStyle w:val="row-content-rich-text"/>
              </w:rPr>
              <w:t xml:space="preserve">People in multiple target groups: This category includes providers who target more than one group defined above and it is not possible to identify a primary target group.</w:t>
            </w:r>
          </w:p>
          <w:p>
            <w:pPr/>
            <w:r>
              <w:rPr>
                <w:rStyle w:val="row-content-rich-text"/>
              </w:rPr>
              <w:t xml:space="preserve">Other target group not specified above: This category includes providers with a target group not specified above and where the provider target group is unknown.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Should be supported by metadata items delineating the individual characteristics that define the target population, such as Sex, Country of birth, etc.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Community housing data manual 2001-02</w:t>
            </w:r>
          </w:p>
          <w:p>
            <w:pPr>
              <w:spacing w:after="160"/>
            </w:pPr>
            <w:r>
              <w:rPr>
                <w:rStyle w:val="row-content-rich-text"/>
              </w:rPr>
              <w:t xml:space="preserve">Chamberlain C. (1999) Occasional paper: Census of population and housing - counting the homeless. Australian Bureau of Statistics (ABS) Catalogue number 2041.0</w:t>
            </w:r>
          </w:p>
          <w:p>
            <w:pPr>
              <w:spacing w:after="160"/>
            </w:pPr>
            <w:r>
              <w:rPr>
                <w:rStyle w:val="row-content-rich-text"/>
              </w:rPr>
              <w:t xml:space="preserve">ABS (1996) Women's Safety in Australia 1996. ABS Catalogue number 4128</w:t>
            </w:r>
          </w:p>
          <w:p>
            <w:pPr/>
            <w:r>
              <w:rPr>
                <w:rStyle w:val="row-content-rich-text"/>
              </w:rPr>
              <w:t xml:space="preserve">ABS (1997). Developing Improved Statistical Measures of Cultural Diversity in Australian Society: Discussion Paper. Canberra: ABS, August 1997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014d781be5884073">
              <w:r>
                <w:drawing>
                  <wp:inline xmlns:wp="http://schemas.openxmlformats.org/drawingml/2006/wordprocessingDrawing" distT="0" distB="0" distL="0" distR="0">
                    <wp:extent cx="152400" cy="152400"/>
                    <wp:effectExtent l="19050" t="0" r="0" b="0"/>
                    <wp:docPr id="2" name="Picture 2" descr="">
                      <a:hlinkClick xmlns:a="http://schemas.openxmlformats.org/drawingml/2006/main" r:id="R014d781be588407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757ca2b674d4b1a"/>
                            <a:srcRect/>
                            <a:stretch>
                              <a:fillRect/>
                            </a:stretch>
                          </pic:blipFill>
                          <pic:spPr bwMode="auto">
                            <a:xfrm>
                              <a:off x="0" y="0"/>
                              <a:ext cx="152400" cy="152400"/>
                            </a:xfrm>
                            <a:prstGeom prst="rect">
                              <a:avLst/>
                            </a:prstGeom>
                          </pic:spPr>
                        </pic:pic>
                      </a:graphicData>
                    </a:graphic>
                  </wp:inline>
                </w:drawing>
              </w:r>
              <w:r>
                <w:rPr>
                  <w:rStyle w:val="Hyperlink"/>
                </w:rPr>
                <w:t xml:space="preserve"> Targeted CSHA community housing provider target groups, version 1, DE, NHADD, NHDAMG,  Superseded 01/03/2005.pdf</w:t>
              </w:r>
            </w:hyperlink>
          </w:p>
          <w:p>
            <w:r>
              <w:rPr>
                <w:rStyle w:val="row-content"/>
              </w:rPr>
              <w:t xml:space="preserve"> (20.9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847d74aee7ca44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270326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6b4f1b5e6b4c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7d74aee7ca44cf" /><Relationship Type="http://schemas.openxmlformats.org/officeDocument/2006/relationships/header" Target="/word/header1.xml" Id="R8b3f5db764a14056" /><Relationship Type="http://schemas.openxmlformats.org/officeDocument/2006/relationships/settings" Target="/word/settings.xml" Id="Rda92aa39098b495e" /><Relationship Type="http://schemas.openxmlformats.org/officeDocument/2006/relationships/styles" Target="/word/styles.xml" Id="R4273f33c8fd14dde" /><Relationship Type="http://schemas.openxmlformats.org/officeDocument/2006/relationships/numbering" Target="/word/numbering.xml" Id="R73d67e09dcb740c5" /><Relationship Type="http://schemas.openxmlformats.org/officeDocument/2006/relationships/image" Target="/media/image.gif" Id="R7757ca2b674d4b1a" /><Relationship Type="http://schemas.openxmlformats.org/officeDocument/2006/relationships/hyperlink" Target="https://meteor.aihw.gov.au/RegistrationAuthority/11" TargetMode="External" Id="R31ae32a2d5264d97" /><Relationship Type="http://schemas.openxmlformats.org/officeDocument/2006/relationships/hyperlink" Target="https://meteor.aihw.gov.au/content/269763" TargetMode="External" Id="Rb98cdad13a854cd0" /><Relationship Type="http://schemas.openxmlformats.org/officeDocument/2006/relationships/hyperlink" Target="https://meteor.aihw.gov.au/content/270838" TargetMode="External" Id="R6ec2afbfa3444cdf" /><Relationship Type="http://schemas.openxmlformats.org/officeDocument/2006/relationships/hyperlink" Target="https://meteor.aihw.gov.au/content/270354" TargetMode="External" Id="Rc175d01f811a4bc4" /><Relationship Type="http://schemas.openxmlformats.org/officeDocument/2006/relationships/hyperlink" Target="https://meteor.aihw.gov.au/content/288384" TargetMode="External" Id="Rd9f8825592b54d12" /><Relationship Type="http://schemas.openxmlformats.org/officeDocument/2006/relationships/hyperlink" Target="https://meteor.aihw.gov.au/content/274061" TargetMode="External" Id="R014d781be5884073" /></Relationships>
</file>

<file path=word/_rels/header1.xml.rels>&#65279;<?xml version="1.0" encoding="utf-8"?><Relationships xmlns="http://schemas.openxmlformats.org/package/2006/relationships"><Relationship Type="http://schemas.openxmlformats.org/officeDocument/2006/relationships/image" Target="/media/image.png" Id="Rc06b4f1b5e6b4c6d" /></Relationships>
</file>