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4e068e53a744a2"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(measured),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(measured),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05bfdce8049d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measured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c097bef9644f6c">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3db18d08c4850">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HbA1c results vary between laboratories; use the same laboratory for repeated testing.</w:t>
            </w:r>
          </w:p>
          <w:p>
            <w:pPr>
              <w:spacing w:after="160"/>
            </w:pPr>
            <w:r>
              <w:rPr>
                <w:rStyle w:val="row-content-rich-text"/>
              </w:rPr>
              <w:t xml:space="preserve">When reporting, record absolute result of the most recent HbA1c level in the last 12 months.</w:t>
            </w:r>
          </w:p>
          <w:p>
            <w:pPr/>
            <w:r>
              <w:rPr>
                <w:rStyle w:val="row-content-rich-text"/>
              </w:rPr>
              <w:t xml:space="preserve">Record the absolute result of the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Test is performed in accredited laboratories:</w:t>
            </w:r>
          </w:p>
          <w:p>
            <w:pPr>
              <w:pStyle w:val="ListParagraph"/>
              <w:numPr>
                <w:ilvl w:val="0"/>
                <w:numId w:val="2"/>
              </w:numPr>
            </w:pPr>
            <w:r>
              <w:rPr>
                <w:rStyle w:val="row-content-rich-text"/>
              </w:rPr>
              <w:t xml:space="preserve">A single blood sample is sufficient and no preparation of the patient is required.</w:t>
            </w:r>
          </w:p>
          <w:p>
            <w:pPr>
              <w:pStyle w:val="ListParagraph"/>
              <w:numPr>
                <w:ilvl w:val="0"/>
                <w:numId w:val="2"/>
              </w:numPr>
            </w:pPr>
            <w:r>
              <w:rPr>
                <w:rStyle w:val="row-content-rich-text"/>
              </w:rPr>
              <w:t xml:space="preserve">Measure HbA1c ideally using High Performance Liquid Chromatography (HPLC).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Koening, R. J. Peterson, CM and Kilo, C et al. Hemoglobin A1c as an indicator of the degree of glucose intolerance in diabetes. Diabetes 259 (1976): 230-232. Nathan, D.M., Singer, D.E, Hurxthal, K, and Goodson, J.D. The clinical information value of the glycosylated hemoglobin assay. N. Eng. J. Med. 310 (1984): 341-346.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6c8d0d5a7648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6c8d0d5a7648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7c8c37673594e56"/>
                            <a:srcRect/>
                            <a:stretch>
                              <a:fillRect/>
                            </a:stretch>
                          </pic:blipFill>
                          <pic:spPr bwMode="auto">
                            <a:xfrm>
                              <a:off x="0" y="0"/>
                              <a:ext cx="152400" cy="152400"/>
                            </a:xfrm>
                            <a:prstGeom prst="rect">
                              <a:avLst/>
                            </a:prstGeom>
                          </pic:spPr>
                        </pic:pic>
                      </a:graphicData>
                    </a:graphic>
                  </wp:inline>
                </w:drawing>
              </w:r>
              <w:r>
                <w:rPr>
                  <w:rStyle w:val="Hyperlink"/>
                </w:rPr>
                <w:t xml:space="preserve"> Glycosylated Haemoglobin (HbA1c) - measured, version 1, DE, NHDD, NHIMG, Superseded 01/03/2005.pdf</w:t>
              </w:r>
            </w:hyperlink>
          </w:p>
          <w:p>
            <w:r>
              <w:rPr>
                <w:rStyle w:val="row-content"/>
              </w:rPr>
              <w:t xml:space="preserve"> (18.0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35a96bb7af84bf1">
              <w:r>
                <w:rPr>
                  <w:rStyle w:val="Hyperlink"/>
                </w:rPr>
                <w:t xml:space="preserve">Laboratory standard—upper limit of normal range of glycosylated haemoglobin, percentage N[N].N</w:t>
              </w:r>
            </w:hyperlink>
          </w:p>
          <w:p>
            <w:pPr>
              <w:spacing w:before="0" w:after="0"/>
            </w:pPr>
            <w:r>
              <w:rPr>
                <w:rStyle w:val="row-content"/>
                <w:color w:val="244061"/>
              </w:rPr>
              <w:t xml:space="preserve">       </w:t>
            </w:r>
            <w:hyperlink w:history="true" r:id="Rc29bc33c6b00408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e6b4008b124ee4">
              <w:r>
                <w:rPr>
                  <w:rStyle w:val="Hyperlink"/>
                </w:rPr>
                <w:t xml:space="preserve">Acute coronary syndrome (clinical) DSS</w:t>
              </w:r>
            </w:hyperlink>
          </w:p>
          <w:p>
            <w:pPr>
              <w:spacing w:before="0" w:after="0"/>
            </w:pPr>
            <w:r>
              <w:rPr>
                <w:rStyle w:val="row-content"/>
                <w:color w:val="244061"/>
              </w:rPr>
              <w:t xml:space="preserve">       </w:t>
            </w:r>
            <w:hyperlink w:history="true" r:id="R27fe466e51fb4180">
              <w:r>
                <w:rPr>
                  <w:rStyle w:val="Hyperlink"/>
                  <w:color w:val="244061"/>
                </w:rPr>
                <w:t xml:space="preserve">Health</w:t>
              </w:r>
            </w:hyperlink>
            <w:r>
              <w:rPr>
                <w:rStyle w:val="row-content"/>
                <w:color w:val="244061"/>
              </w:rPr>
              <w:t xml:space="preserve">, Superseded 01/09/2012</w:t>
            </w:r>
          </w:p>
          <w:p>
            <w:r>
              <w:br/>
            </w:r>
            <w:hyperlink w:history="true" r:id="Rc00f4a1d79b446aa">
              <w:r>
                <w:rPr>
                  <w:rStyle w:val="Hyperlink"/>
                </w:rPr>
                <w:t xml:space="preserve">Acute coronary syndrome (clinical) DSS</w:t>
              </w:r>
            </w:hyperlink>
          </w:p>
          <w:p>
            <w:pPr>
              <w:spacing w:before="0" w:after="0"/>
            </w:pPr>
            <w:r>
              <w:rPr>
                <w:rStyle w:val="row-content"/>
                <w:color w:val="244061"/>
              </w:rPr>
              <w:t xml:space="preserve">       </w:t>
            </w:r>
            <w:hyperlink w:history="true" r:id="Rf06673bdac4346c4">
              <w:r>
                <w:rPr>
                  <w:rStyle w:val="Hyperlink"/>
                  <w:color w:val="244061"/>
                </w:rPr>
                <w:t xml:space="preserve">Health</w:t>
              </w:r>
            </w:hyperlink>
            <w:r>
              <w:rPr>
                <w:rStyle w:val="row-content"/>
                <w:color w:val="244061"/>
              </w:rPr>
              <w:t xml:space="preserve">, Superseded 02/05/2013</w:t>
            </w:r>
          </w:p>
          <w:p>
            <w:r>
              <w:br/>
            </w:r>
            <w:hyperlink w:history="true" r:id="R71dcf1dc45ca4d9c">
              <w:r>
                <w:rPr>
                  <w:rStyle w:val="Hyperlink"/>
                </w:rPr>
                <w:t xml:space="preserve">Acute coronary syndrome (clinical) NBPDS 2013-</w:t>
              </w:r>
            </w:hyperlink>
          </w:p>
          <w:p>
            <w:pPr>
              <w:spacing w:before="0" w:after="0"/>
            </w:pPr>
            <w:r>
              <w:rPr>
                <w:rStyle w:val="row-content"/>
                <w:color w:val="244061"/>
              </w:rPr>
              <w:t xml:space="preserve">       </w:t>
            </w:r>
            <w:hyperlink w:history="true" r:id="R8b86d7b8f0b8453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111253ae6294381">
              <w:r>
                <w:rPr>
                  <w:rStyle w:val="Hyperlink"/>
                </w:rPr>
                <w:t xml:space="preserve">Diabetes (clinical) DSS</w:t>
              </w:r>
            </w:hyperlink>
          </w:p>
          <w:p>
            <w:pPr>
              <w:spacing w:before="0" w:after="0"/>
            </w:pPr>
            <w:r>
              <w:rPr>
                <w:rStyle w:val="row-content"/>
                <w:color w:val="244061"/>
              </w:rPr>
              <w:t xml:space="preserve">       </w:t>
            </w:r>
            <w:hyperlink w:history="true" r:id="R62314efe94d14be7">
              <w:r>
                <w:rPr>
                  <w:rStyle w:val="Hyperlink"/>
                  <w:color w:val="244061"/>
                </w:rPr>
                <w:t xml:space="preserve">Health</w:t>
              </w:r>
            </w:hyperlink>
            <w:r>
              <w:rPr>
                <w:rStyle w:val="row-content"/>
                <w:color w:val="244061"/>
              </w:rPr>
              <w:t xml:space="preserve">, Superseded 21/09/2005</w:t>
            </w:r>
          </w:p>
          <w:p>
            <w:r>
              <w:br/>
            </w:r>
            <w:hyperlink w:history="true" r:id="Ra28b5a9ed7de422f">
              <w:r>
                <w:rPr>
                  <w:rStyle w:val="Hyperlink"/>
                </w:rPr>
                <w:t xml:space="preserve">Diabetes (clinical) NBPDS</w:t>
              </w:r>
            </w:hyperlink>
          </w:p>
          <w:p>
            <w:pPr>
              <w:spacing w:before="0" w:after="0"/>
            </w:pPr>
            <w:r>
              <w:rPr>
                <w:rStyle w:val="row-content"/>
                <w:color w:val="244061"/>
              </w:rPr>
              <w:t xml:space="preserve">       </w:t>
            </w:r>
            <w:hyperlink w:history="true" r:id="Rba1d0f28c9974900">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HbA1c along with regular blood glucose monitoring is the best way to see the overall picture of blood glucose levels.</w:t>
            </w:r>
          </w:p>
          <w:p>
            <w:r>
              <w:rPr>
                <w:rStyle w:val="row-content"/>
              </w:rP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rPr>
                <w:rStyle w:val="row-content"/>
              </w:rP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rPr>
                <w:rStyle w:val="row-content"/>
              </w:rPr>
              <w:t xml:space="preserve">Research studies in the United States have found that for every 1% reduction in results of HbA1c blood tests, the risk of developing micro vascular diabetic complications (eye, kidney, and nerve disease) is reduced by 40 percent.</w:t>
            </w:r>
          </w:p>
          <w:p>
            <w:r>
              <w:rPr>
                <w:rStyle w:val="row-content"/>
              </w:rP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rPr>
                <w:rStyle w:val="row-content"/>
              </w:rPr>
              <w:t xml:space="preserve">The target proposed by the Australian Diabetes Society for glycosylated haemoglobin (HbA1c)is 7.0% or less and a doctor may order this test about every 3 - 6 months.</w:t>
            </w:r>
          </w:p>
          <w:p>
            <w:r>
              <w:br/>
            </w:r>
            <w:r>
              <w:br/>
            </w:r>
          </w:p>
        </w:tc>
      </w:tr>
    </w:tbl>
    <w:p/>
    <w:tbl>
      <w:tblPr>
        <w:tblStyle w:val="TableGrid"/>
        <w:tblW w:w="0" w:type="auto"/>
      </w:tblPr>
    </w:tbl>
    <w:p>
      <w:r>
        <w:br/>
      </w:r>
    </w:p>
    <w:sectPr>
      <w:footerReference xmlns:r="http://schemas.openxmlformats.org/officeDocument/2006/relationships" w:type="default" r:id="R19e110b9bfc6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7f72182df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110b9bfc64987" /><Relationship Type="http://schemas.openxmlformats.org/officeDocument/2006/relationships/header" Target="/word/header1.xml" Id="Ra64e1d0f300c42d7" /><Relationship Type="http://schemas.openxmlformats.org/officeDocument/2006/relationships/settings" Target="/word/settings.xml" Id="R31c8dfe7a240463d" /><Relationship Type="http://schemas.openxmlformats.org/officeDocument/2006/relationships/styles" Target="/word/styles.xml" Id="Rd73a20b3f3cf474d" /><Relationship Type="http://schemas.openxmlformats.org/officeDocument/2006/relationships/hyperlink" Target="https://meteor.aihw.gov.au/RegistrationAuthority/12" TargetMode="External" Id="R93d05bfdce8049d0" /><Relationship Type="http://schemas.openxmlformats.org/officeDocument/2006/relationships/hyperlink" Target="https://meteor.aihw.gov.au/content/269764" TargetMode="External" Id="Rc3c097bef9644f6c" /><Relationship Type="http://schemas.openxmlformats.org/officeDocument/2006/relationships/hyperlink" Target="https://meteor.aihw.gov.au/content/270836" TargetMode="External" Id="Rce73db18d08c4850" /><Relationship Type="http://schemas.openxmlformats.org/officeDocument/2006/relationships/numbering" Target="/word/numbering.xml" Id="R6ef5672dba214727" /><Relationship Type="http://schemas.openxmlformats.org/officeDocument/2006/relationships/hyperlink" Target="https://meteor.aihw.gov.au/content/273861" TargetMode="External" Id="Rd56c8d0d5a7648b5" /><Relationship Type="http://schemas.openxmlformats.org/officeDocument/2006/relationships/image" Target="/media/image.gif" Id="Rf7c8c37673594e56" /><Relationship Type="http://schemas.openxmlformats.org/officeDocument/2006/relationships/hyperlink" Target="https://meteor.aihw.gov.au/content/270333" TargetMode="External" Id="Rc35a96bb7af84bf1" /><Relationship Type="http://schemas.openxmlformats.org/officeDocument/2006/relationships/hyperlink" Target="https://meteor.aihw.gov.au/RegistrationAuthority/12" TargetMode="External" Id="Rc29bc33c6b004083" /><Relationship Type="http://schemas.openxmlformats.org/officeDocument/2006/relationships/hyperlink" Target="https://meteor.aihw.gov.au/content/372930" TargetMode="External" Id="Rd6e6b4008b124ee4" /><Relationship Type="http://schemas.openxmlformats.org/officeDocument/2006/relationships/hyperlink" Target="https://meteor.aihw.gov.au/RegistrationAuthority/12" TargetMode="External" Id="R27fe466e51fb4180" /><Relationship Type="http://schemas.openxmlformats.org/officeDocument/2006/relationships/hyperlink" Target="https://meteor.aihw.gov.au/content/482119" TargetMode="External" Id="Rc00f4a1d79b446aa" /><Relationship Type="http://schemas.openxmlformats.org/officeDocument/2006/relationships/hyperlink" Target="https://meteor.aihw.gov.au/RegistrationAuthority/12" TargetMode="External" Id="Rf06673bdac4346c4" /><Relationship Type="http://schemas.openxmlformats.org/officeDocument/2006/relationships/hyperlink" Target="https://meteor.aihw.gov.au/content/523140" TargetMode="External" Id="R71dcf1dc45ca4d9c" /><Relationship Type="http://schemas.openxmlformats.org/officeDocument/2006/relationships/hyperlink" Target="https://meteor.aihw.gov.au/RegistrationAuthority/12" TargetMode="External" Id="R8b86d7b8f0b84536" /><Relationship Type="http://schemas.openxmlformats.org/officeDocument/2006/relationships/hyperlink" Target="https://meteor.aihw.gov.au/content/273054" TargetMode="External" Id="R3111253ae6294381" /><Relationship Type="http://schemas.openxmlformats.org/officeDocument/2006/relationships/hyperlink" Target="https://meteor.aihw.gov.au/RegistrationAuthority/12" TargetMode="External" Id="R62314efe94d14be7" /><Relationship Type="http://schemas.openxmlformats.org/officeDocument/2006/relationships/hyperlink" Target="https://meteor.aihw.gov.au/content/304865" TargetMode="External" Id="Ra28b5a9ed7de422f" /><Relationship Type="http://schemas.openxmlformats.org/officeDocument/2006/relationships/hyperlink" Target="https://meteor.aihw.gov.au/RegistrationAuthority/12" TargetMode="External" Id="Rba1d0f28c9974900" /></Relationships>
</file>

<file path=word/_rels/header1.xml.rels>&#65279;<?xml version="1.0" encoding="utf-8"?><Relationships xmlns="http://schemas.openxmlformats.org/package/2006/relationships"><Relationship Type="http://schemas.openxmlformats.org/officeDocument/2006/relationships/image" Target="/media/image.png" Id="R0637f72182df431b" /></Relationships>
</file>