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29cfcc889e4fab" /></Relationships>
</file>

<file path=word/document.xml><?xml version="1.0" encoding="utf-8"?>
<w:document xmlns:r="http://schemas.openxmlformats.org/officeDocument/2006/relationships" xmlns:w="http://schemas.openxmlformats.org/wordprocessingml/2006/main">
  <w:body>
    <w:p>
      <w:pPr>
        <w:pStyle w:val="Title"/>
      </w:pPr>
      <w:r>
        <w:t>Person—relationship to reference person (household),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reference person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6a7645db2b481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2e618a9e7642ae">
              <w:r>
                <w:rPr>
                  <w:rStyle w:val="Hyperlink"/>
                </w:rPr>
                <w:t xml:space="preserve">Person—relationship to reference person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979d1673a457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persons residing within the same household is essential in a wide range of statistics on household composition, family type and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7bf5b694c74eb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d12b08b38d452e">
              <w:r>
                <w:rPr>
                  <w:rStyle w:val="Hyperlink"/>
                </w:rPr>
                <w:t xml:space="preserve">Relationship to reference person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3889ca93b64056">
              <w:r>
                <w:rPr>
                  <w:rStyle w:val="Hyperlink"/>
                </w:rPr>
                <w:t xml:space="preserve">Relationship to reference person within household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345f236deb4889">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relationship to the reference person within a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Son/daughter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Son/daughter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Resident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Resident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the usual residents of the household are included.</w:t>
            </w:r>
          </w:p>
          <w:p>
            <w:pPr>
              <w:spacing w:after="160"/>
            </w:pPr>
            <w:r>
              <w:rPr>
                <w:rStyle w:val="row-content-rich-text"/>
              </w:rPr>
              <w:t xml:space="preserve">CODE 1   Reference person</w:t>
            </w:r>
          </w:p>
          <w:p>
            <w:pPr>
              <w:spacing w:after="160"/>
            </w:pPr>
            <w:r>
              <w:rPr>
                <w:rStyle w:val="row-content-rich-text"/>
              </w:rPr>
              <w:t xml:space="preserve">May be referred to as </w:t>
            </w:r>
            <w:r>
              <w:rPr>
                <w:rStyle w:val="row-content-rich-text"/>
                <w:i/>
              </w:rPr>
              <w:t xml:space="preserve">person 1, main tenant</w:t>
            </w:r>
            <w:r>
              <w:rPr>
                <w:rStyle w:val="row-content-rich-text"/>
              </w:rPr>
              <w:t xml:space="preserve"> or </w:t>
            </w:r>
            <w:r>
              <w:rPr>
                <w:rStyle w:val="row-content-rich-text"/>
                <w:i/>
              </w:rPr>
              <w:t xml:space="preserve">tenant 1, </w:t>
            </w:r>
            <w:r>
              <w:rPr>
                <w:rStyle w:val="row-content-rich-text"/>
                <w:i/>
              </w:rPr>
              <w:t xml:space="preserve">principal tenant</w:t>
            </w:r>
            <w:r>
              <w:rPr>
                <w:rStyle w:val="row-content-rich-text"/>
              </w:rPr>
              <w:t xml:space="preserve">, </w:t>
            </w:r>
            <w:r>
              <w:rPr>
                <w:rStyle w:val="row-content-rich-text"/>
                <w:i/>
              </w:rPr>
              <w:t xml:space="preserve">household head</w:t>
            </w:r>
            <w:r>
              <w:rPr>
                <w:rStyle w:val="row-content-rich-text"/>
              </w:rPr>
              <w:t xml:space="preserve"> on application or tenancy forms, or where the dwelling is being purchased, referred to as the </w:t>
            </w:r>
            <w:r>
              <w:rPr>
                <w:rStyle w:val="row-content-rich-text"/>
                <w:i/>
              </w:rPr>
              <w:t xml:space="preserve">mortgagee</w:t>
            </w:r>
            <w:r>
              <w:rPr>
                <w:rStyle w:val="row-content-rich-text"/>
              </w:rPr>
              <w:t xml:space="preserve">. Person must be aged 16 or over.</w:t>
            </w:r>
          </w:p>
          <w:p>
            <w:pPr>
              <w:spacing w:after="160"/>
            </w:pPr>
            <w:r>
              <w:rPr>
                <w:rStyle w:val="row-content-rich-text"/>
              </w:rPr>
              <w:t xml:space="preserve">CODE 2   Spouse/partner</w:t>
            </w:r>
          </w:p>
          <w:p>
            <w:pPr>
              <w:spacing w:after="160"/>
            </w:pPr>
            <w:r>
              <w:rPr>
                <w:rStyle w:val="row-content-rich-text"/>
              </w:rPr>
              <w:t xml:space="preserve">Include defacto, wife, husband and partner of the reference person/tenant.</w:t>
            </w:r>
          </w:p>
          <w:p>
            <w:pPr>
              <w:spacing w:after="160"/>
            </w:pPr>
            <w:r>
              <w:rPr>
                <w:rStyle w:val="row-content-rich-text"/>
              </w:rPr>
              <w:t xml:space="preserve">CODES 3 and 4   Son/daughter</w:t>
            </w:r>
          </w:p>
          <w:p>
            <w:pPr>
              <w:spacing w:after="160"/>
            </w:pPr>
            <w:r>
              <w:rPr>
                <w:rStyle w:val="row-content-rich-text"/>
              </w:rPr>
              <w:t xml:space="preserve">Include the son(s) or daughter(s) (or step son(s)/daughter(s)) of the reference person and/or spouse.</w:t>
            </w:r>
          </w:p>
          <w:p>
            <w:pPr>
              <w:spacing w:after="160"/>
            </w:pPr>
            <w:r>
              <w:rPr>
                <w:rStyle w:val="row-content-rich-text"/>
              </w:rPr>
              <w:t xml:space="preserve">CODES 5 and 6   Resident</w:t>
            </w:r>
          </w:p>
          <w:p>
            <w:pPr/>
            <w:r>
              <w:rPr>
                <w:rStyle w:val="row-content-rich-text"/>
              </w:rPr>
              <w:t xml:space="preserve">Include relatives other than son(s)/daughter(s) (step son(s)/daughter(s)), non-related carer, other non-related and non-family member(s).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Collecting this data is quite complex, due to inter-relationships that may exist in a household. Refer to </w:t>
            </w:r>
            <w:r>
              <w:rPr>
                <w:rStyle w:val="row-content-rich-text"/>
                <w:i/>
              </w:rPr>
              <w:t xml:space="preserve">ABS: Directory of concepts and standards for social, labour and demographic statistics, 1995</w:t>
            </w:r>
            <w:r>
              <w:rPr>
                <w:rStyle w:val="row-content-rich-text"/>
              </w:rPr>
              <w:t xml:space="preserve"> for standard questions and approach to collecting data on this metadata item.</w:t>
            </w:r>
          </w:p>
          <w:p>
            <w:pPr/>
            <w:r>
              <w:rPr>
                <w:rStyle w:val="row-content-rich-text"/>
              </w:rPr>
              <w:t xml:space="preserve">This metadata item is used to derive </w:t>
            </w:r>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5efef0a104e94dd1">
              <w:r>
                <w:rPr>
                  <w:rStyle w:val="Hyperlink"/>
                  <w:b/>
                </w:rPr>
                <w:t xml:space="preserve">tenancy composition </w:t>
              </w:r>
            </w:hyperlink>
            <w:r>
              <w:rPr>
                <w:rStyle w:val="row-content-rich-text"/>
              </w:rPr>
              <w:t xml:space="preserve">for public rental housing and state owned and managed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Standards for statistics on the Family (Cat. No. 1286.0).</w:t>
            </w:r>
          </w:p>
          <w:p>
            <w:pPr>
              <w:spacing w:after="160"/>
            </w:pPr>
            <w:r>
              <w:rPr>
                <w:rStyle w:val="row-content-rich-text"/>
              </w:rPr>
              <w:t xml:space="preserve">Australian Bureau of Statistics 1995. Directory of concepts and standards for social, labour and demographic statistics.</w:t>
            </w:r>
          </w:p>
          <w:p>
            <w:pPr>
              <w:spacing w:after="160"/>
            </w:pPr>
            <w:r>
              <w:rPr>
                <w:rStyle w:val="row-content-rich-text"/>
              </w:rPr>
              <w:t xml:space="preserve">Australian Bureau of Statistics 1996. Census Dictionary (Cat. no. 2901.0).</w:t>
            </w:r>
          </w:p>
          <w:p>
            <w:pPr/>
            <w:r>
              <w:rPr>
                <w:rStyle w:val="row-content-rich-text"/>
              </w:rPr>
              <w:t xml:space="preserve">CSHA Public housing and state/territory owned and managed Indigenous housing NMDS User Guide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aabc2864824ea8">
              <w:r>
                <w:rPr>
                  <w:rStyle w:val="Hyperlink"/>
                </w:rPr>
                <w:t xml:space="preserve">Person—relationship to household reference person, code N</w:t>
              </w:r>
            </w:hyperlink>
          </w:p>
          <w:p>
            <w:pPr>
              <w:spacing w:before="0" w:after="0"/>
            </w:pPr>
            <w:r>
              <w:rPr>
                <w:rStyle w:val="row-content"/>
                <w:color w:val="244061"/>
              </w:rPr>
              <w:t xml:space="preserve">       </w:t>
            </w:r>
            <w:hyperlink w:history="true" r:id="R942d48a9f1f84ca2">
              <w:r>
                <w:rPr>
                  <w:rStyle w:val="Hyperlink"/>
                  <w:color w:val="244061"/>
                </w:rPr>
                <w:t xml:space="preserve">Housing assistance</w:t>
              </w:r>
            </w:hyperlink>
            <w:r>
              <w:rPr>
                <w:rStyle w:val="row-content"/>
                <w:color w:val="244061"/>
              </w:rPr>
              <w:t xml:space="preserve">, Standard 30/08/2017</w:t>
            </w:r>
          </w:p>
          <w:p>
            <w:r>
              <w:br/>
            </w:r>
            <w:r>
              <w:rPr>
                <w:rStyle w:val="row-content"/>
              </w:rPr>
              <w:t xml:space="preserve">Is re-engineered from </w:t>
            </w:r>
            <w:hyperlink w:history="true" r:id="R678fbc4b20254566">
              <w:r>
                <w:drawing>
                  <wp:inline xmlns:wp="http://schemas.openxmlformats.org/drawingml/2006/wordprocessingDrawing" distT="0" distB="0" distL="0" distR="0">
                    <wp:extent cx="152400" cy="152400"/>
                    <wp:effectExtent l="19050" t="0" r="0" b="0"/>
                    <wp:docPr id="2" name="Picture 2" descr="">
                      <a:hlinkClick xmlns:a="http://schemas.openxmlformats.org/drawingml/2006/main" r:id="R678fbc4b2025456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528d1ee0ffb4d1f"/>
                            <a:srcRect/>
                            <a:stretch>
                              <a:fillRect/>
                            </a:stretch>
                          </pic:blipFill>
                          <pic:spPr bwMode="auto">
                            <a:xfrm>
                              <a:off x="0" y="0"/>
                              <a:ext cx="152400" cy="152400"/>
                            </a:xfrm>
                            <a:prstGeom prst="rect">
                              <a:avLst/>
                            </a:prstGeom>
                          </pic:spPr>
                        </pic:pic>
                      </a:graphicData>
                    </a:graphic>
                  </wp:inline>
                </w:drawing>
              </w:r>
              <w:r>
                <w:rPr>
                  <w:rStyle w:val="Hyperlink"/>
                </w:rPr>
                <w:t xml:space="preserve"> Relationship to reference person, version 2, DE, NHADD, NHDAMG, Superseded 01/03/2005.pdf</w:t>
              </w:r>
            </w:hyperlink>
          </w:p>
          <w:p>
            <w:r>
              <w:rPr>
                <w:rStyle w:val="row-content"/>
              </w:rPr>
              <w:t xml:space="preserve"> (16.8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d2f0f5b78c4f1d">
              <w:r>
                <w:rPr>
                  <w:rStyle w:val="Hyperlink"/>
                </w:rPr>
                <w:t xml:space="preserve">Person (housing assistance) cluster</w:t>
              </w:r>
            </w:hyperlink>
          </w:p>
          <w:p>
            <w:pPr>
              <w:spacing w:before="0" w:after="0"/>
            </w:pPr>
            <w:r>
              <w:rPr>
                <w:rStyle w:val="row-content"/>
                <w:color w:val="244061"/>
              </w:rPr>
              <w:t xml:space="preserve">       </w:t>
            </w:r>
            <w:hyperlink w:history="true" r:id="R38bc2b324a97428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146988e0f1b94680">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44d40d3c442b43cc">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c1e7343a2e6f4bbf">
              <w:r>
                <w:rPr>
                  <w:rStyle w:val="Hyperlink"/>
                  <w:color w:val="244061"/>
                </w:rPr>
                <w:t xml:space="preserve">Indigenous</w:t>
              </w:r>
            </w:hyperlink>
            <w:r>
              <w:rPr>
                <w:rStyle w:val="row-content"/>
                <w:color w:val="244061"/>
              </w:rPr>
              <w:t xml:space="preserve">, Standard 11/09/2012</w:t>
            </w:r>
          </w:p>
          <w:p>
            <w:r>
              <w:br/>
            </w:r>
          </w:p>
        </w:tc>
      </w:tr>
    </w:tbl>
    <w:p/>
    <w:tbl>
      <w:tblPr>
        <w:tblStyle w:val="TableGrid"/>
        <w:tblW w:w="0" w:type="auto"/>
      </w:tblPr>
    </w:tbl>
    <w:p>
      <w:r>
        <w:br/>
      </w:r>
    </w:p>
    <w:sectPr>
      <w:footerReference xmlns:r="http://schemas.openxmlformats.org/officeDocument/2006/relationships" w:type="default" r:id="Rcde87e61d2e44f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8a699be3dd4e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e87e61d2e44f4c" /><Relationship Type="http://schemas.openxmlformats.org/officeDocument/2006/relationships/header" Target="/word/header1.xml" Id="Rd39780f8c2254791" /><Relationship Type="http://schemas.openxmlformats.org/officeDocument/2006/relationships/settings" Target="/word/settings.xml" Id="Rbd88af97415d4c98" /><Relationship Type="http://schemas.openxmlformats.org/officeDocument/2006/relationships/styles" Target="/word/styles.xml" Id="R1c7a0d019f994409" /><Relationship Type="http://schemas.openxmlformats.org/officeDocument/2006/relationships/hyperlink" Target="https://meteor.aihw.gov.au/RegistrationAuthority/11" TargetMode="External" Id="R276a7645db2b481c" /><Relationship Type="http://schemas.openxmlformats.org/officeDocument/2006/relationships/hyperlink" Target="https://meteor.aihw.gov.au/content/269698" TargetMode="External" Id="Rdf2e618a9e7642ae" /><Relationship Type="http://schemas.openxmlformats.org/officeDocument/2006/relationships/hyperlink" Target="https://meteor.aihw.gov.au/RegistrationAuthority/11" TargetMode="External" Id="Ra22979d1673a457c" /><Relationship Type="http://schemas.openxmlformats.org/officeDocument/2006/relationships/hyperlink" Target="https://meteor.aihw.gov.au/content/268955" TargetMode="External" Id="Re17bf5b694c74ebb" /><Relationship Type="http://schemas.openxmlformats.org/officeDocument/2006/relationships/hyperlink" Target="https://meteor.aihw.gov.au/content/269216" TargetMode="External" Id="R67d12b08b38d452e" /><Relationship Type="http://schemas.openxmlformats.org/officeDocument/2006/relationships/hyperlink" Target="https://meteor.aihw.gov.au/content/270795" TargetMode="External" Id="Re13889ca93b64056" /><Relationship Type="http://schemas.openxmlformats.org/officeDocument/2006/relationships/hyperlink" Target="https://meteor.aihw.gov.au/RegistrationAuthority/11" TargetMode="External" Id="R6a345f236deb4889" /><Relationship Type="http://schemas.openxmlformats.org/officeDocument/2006/relationships/hyperlink" Target="https://meteor.aihw.gov.au/content/327444" TargetMode="External" Id="R5efef0a104e94dd1" /><Relationship Type="http://schemas.openxmlformats.org/officeDocument/2006/relationships/hyperlink" Target="https://meteor.aihw.gov.au/content/609147" TargetMode="External" Id="R00aabc2864824ea8" /><Relationship Type="http://schemas.openxmlformats.org/officeDocument/2006/relationships/hyperlink" Target="https://meteor.aihw.gov.au/RegistrationAuthority/11" TargetMode="External" Id="R942d48a9f1f84ca2" /><Relationship Type="http://schemas.openxmlformats.org/officeDocument/2006/relationships/hyperlink" Target="https://meteor.aihw.gov.au/content/273697" TargetMode="External" Id="R678fbc4b20254566" /><Relationship Type="http://schemas.openxmlformats.org/officeDocument/2006/relationships/image" Target="/media/image.gif" Id="R9528d1ee0ffb4d1f" /><Relationship Type="http://schemas.openxmlformats.org/officeDocument/2006/relationships/hyperlink" Target="https://meteor.aihw.gov.au/content/459133" TargetMode="External" Id="Rf4d2f0f5b78c4f1d" /><Relationship Type="http://schemas.openxmlformats.org/officeDocument/2006/relationships/hyperlink" Target="https://meteor.aihw.gov.au/RegistrationAuthority/11" TargetMode="External" Id="R38bc2b324a974286" /><Relationship Type="http://schemas.openxmlformats.org/officeDocument/2006/relationships/hyperlink" Target="https://meteor.aihw.gov.au/content/410478" TargetMode="External" Id="R146988e0f1b94680" /><Relationship Type="http://schemas.openxmlformats.org/officeDocument/2006/relationships/hyperlink" Target="https://meteor.aihw.gov.au/RegistrationAuthority/14" TargetMode="External" Id="R44d40d3c442b43cc" /><Relationship Type="http://schemas.openxmlformats.org/officeDocument/2006/relationships/hyperlink" Target="https://meteor.aihw.gov.au/RegistrationAuthority/6" TargetMode="External" Id="Rc1e7343a2e6f4bbf" /></Relationships>
</file>

<file path=word/_rels/header1.xml.rels>&#65279;<?xml version="1.0" encoding="utf-8"?><Relationships xmlns="http://schemas.openxmlformats.org/package/2006/relationships"><Relationship Type="http://schemas.openxmlformats.org/officeDocument/2006/relationships/image" Target="/media/image.png" Id="R038a699be3dd4ee4" /></Relationships>
</file>